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4AF1D" w14:textId="5752EDC9" w:rsidR="00286EBA" w:rsidRDefault="008A0C8E">
      <w:pPr>
        <w:tabs>
          <w:tab w:val="right" w:pos="9639"/>
        </w:tabs>
        <w:overflowPunct/>
        <w:autoSpaceDE/>
        <w:autoSpaceDN/>
        <w:adjustRightInd/>
        <w:spacing w:after="0"/>
        <w:textAlignment w:val="auto"/>
        <w:rPr>
          <w:rFonts w:ascii="Arial" w:eastAsia="MS Mincho" w:hAnsi="Arial" w:cs="Arial"/>
          <w:b/>
          <w:sz w:val="24"/>
          <w:lang w:val="en-US" w:eastAsia="zh-CN"/>
        </w:rPr>
      </w:pPr>
      <w:r>
        <w:rPr>
          <w:rFonts w:ascii="Arial" w:eastAsia="MS Mincho" w:hAnsi="Arial" w:cs="Arial"/>
          <w:b/>
          <w:sz w:val="24"/>
          <w:lang w:eastAsia="en-US"/>
        </w:rPr>
        <w:t>3GPP TSG-RAN WG2 Meeting #131-bis</w:t>
      </w:r>
      <w:r>
        <w:rPr>
          <w:rFonts w:ascii="Arial" w:eastAsia="MS Mincho" w:hAnsi="Arial" w:cs="Arial"/>
          <w:b/>
          <w:sz w:val="24"/>
          <w:lang w:eastAsia="en-US"/>
        </w:rPr>
        <w:tab/>
        <w:t>R2-25</w:t>
      </w:r>
      <w:r w:rsidR="00340232">
        <w:rPr>
          <w:rFonts w:ascii="Arial" w:eastAsia="MS Mincho" w:hAnsi="Arial" w:cs="Arial"/>
          <w:b/>
          <w:sz w:val="24"/>
          <w:lang w:eastAsia="en-US"/>
        </w:rPr>
        <w:t>06858</w:t>
      </w:r>
    </w:p>
    <w:p w14:paraId="7E1EC0BA" w14:textId="77777777" w:rsidR="00286EBA" w:rsidRDefault="008A0C8E">
      <w:pPr>
        <w:widowControl w:val="0"/>
        <w:tabs>
          <w:tab w:val="left" w:pos="1701"/>
          <w:tab w:val="right" w:pos="9923"/>
        </w:tabs>
        <w:overflowPunct/>
        <w:autoSpaceDE/>
        <w:autoSpaceDN/>
        <w:adjustRightInd/>
        <w:spacing w:after="240"/>
        <w:textAlignment w:val="auto"/>
        <w:rPr>
          <w:rFonts w:ascii="Arial" w:eastAsia="MS Mincho" w:hAnsi="Arial"/>
          <w:b/>
          <w:sz w:val="24"/>
          <w:szCs w:val="24"/>
          <w:lang w:val="en-US" w:eastAsia="zh-CN"/>
        </w:rPr>
      </w:pPr>
      <w:r>
        <w:rPr>
          <w:rFonts w:ascii="Arial" w:hAnsi="Arial" w:cs="Arial"/>
          <w:b/>
          <w:sz w:val="24"/>
          <w:szCs w:val="24"/>
          <w:lang w:eastAsia="en-US"/>
        </w:rPr>
        <w:t>Prague</w:t>
      </w:r>
      <w:r>
        <w:rPr>
          <w:rFonts w:ascii="Arial" w:eastAsia="MS Mincho" w:hAnsi="Arial"/>
          <w:b/>
          <w:sz w:val="24"/>
          <w:szCs w:val="24"/>
          <w:lang w:val="en-US" w:eastAsia="zh-CN"/>
        </w:rPr>
        <w:t>, Czech Republic, 13 - 17 October 2025</w:t>
      </w:r>
    </w:p>
    <w:p w14:paraId="7CD48D90" w14:textId="613425A5" w:rsidR="00286EBA" w:rsidRDefault="008A0C8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w:t>
      </w:r>
      <w:r>
        <w:rPr>
          <w:rFonts w:ascii="Arial" w:eastAsia="Batang" w:hAnsi="Arial"/>
          <w:b/>
          <w:sz w:val="24"/>
          <w:lang w:eastAsia="zh-CN"/>
        </w:rPr>
        <w:t>.4</w:t>
      </w:r>
    </w:p>
    <w:p w14:paraId="0147C008" w14:textId="77777777" w:rsidR="00286EBA" w:rsidRDefault="008A0C8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389EA9FB" w14:textId="77777777" w:rsidR="00286EBA" w:rsidRDefault="008A0C8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Discussion on 6GR mobility designs</w:t>
      </w:r>
    </w:p>
    <w:p w14:paraId="39EBC911" w14:textId="77777777" w:rsidR="00286EBA" w:rsidRDefault="008A0C8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 and Decision</w:t>
      </w:r>
    </w:p>
    <w:p w14:paraId="258D7009" w14:textId="77777777" w:rsidR="00286EBA" w:rsidRDefault="008A0C8E">
      <w:pPr>
        <w:pStyle w:val="Heading1"/>
        <w:rPr>
          <w:rFonts w:eastAsia="SimSun"/>
          <w:lang w:eastAsia="zh-CN"/>
        </w:rPr>
      </w:pPr>
      <w:r>
        <w:rPr>
          <w:rFonts w:eastAsia="SimSun"/>
          <w:lang w:eastAsia="zh-CN"/>
        </w:rPr>
        <w:t>1</w:t>
      </w:r>
      <w:r>
        <w:rPr>
          <w:rFonts w:eastAsia="SimSun"/>
          <w:lang w:eastAsia="zh-CN"/>
        </w:rPr>
        <w:tab/>
        <w:t>Introduction</w:t>
      </w:r>
    </w:p>
    <w:p w14:paraId="3E0FE176" w14:textId="77777777" w:rsidR="00286EBA" w:rsidRDefault="008A0C8E">
      <w:pPr>
        <w:rPr>
          <w:rFonts w:eastAsia="DengXian"/>
          <w:lang w:eastAsia="zh-CN"/>
        </w:rPr>
      </w:pPr>
      <w:r>
        <w:rPr>
          <w:rFonts w:eastAsia="DengXian"/>
          <w:lang w:eastAsia="zh-CN"/>
        </w:rPr>
        <w:t>6GR intends to enable new business opportunities, reduce total cost of ownership (TCO) and improve user experience. The 6GR vision targets a true generational leap by making AI and sensing native capabilities of the air interface, committing to green energy-efficient design. In addition, 6GR design shall provide a framework supporting both new and legacy frequency bands, diverse device types, TN and NTN, while not being constrained by backward compatibility. The 6GR air interface should be crafted to deliver not only the above design target, but also to serve as a communication-sensing-AI platform that will drive the industry through 2030 and beyond.</w:t>
      </w:r>
    </w:p>
    <w:p w14:paraId="02493DB1" w14:textId="28952620" w:rsidR="00286EBA" w:rsidRDefault="008A0C8E">
      <w:pPr>
        <w:rPr>
          <w:rFonts w:eastAsia="DengXian"/>
          <w:lang w:eastAsia="zh-CN"/>
        </w:rPr>
      </w:pPr>
      <w:r>
        <w:rPr>
          <w:rFonts w:eastAsia="DengXian"/>
          <w:lang w:eastAsia="zh-CN"/>
        </w:rPr>
        <w:t>The newly approved SI in [1] on the 6G RAT has provided detailed objectives for study. In this contribution, the high-level views for 6GR mobility and measurement are presented.</w:t>
      </w:r>
    </w:p>
    <w:p w14:paraId="4ED07043" w14:textId="77777777" w:rsidR="00286EBA" w:rsidRDefault="008A0C8E">
      <w:pPr>
        <w:pStyle w:val="Heading1"/>
        <w:rPr>
          <w:rFonts w:eastAsia="SimSun"/>
          <w:lang w:eastAsia="zh-CN"/>
        </w:rPr>
      </w:pPr>
      <w:bookmarkStart w:id="0" w:name="_Toc147158671"/>
      <w:bookmarkStart w:id="1" w:name="_Toc499559238"/>
      <w:bookmarkStart w:id="2" w:name="_Toc61387172"/>
      <w:r>
        <w:rPr>
          <w:rFonts w:eastAsia="SimSun"/>
          <w:lang w:eastAsia="zh-CN"/>
        </w:rPr>
        <w:t>2</w:t>
      </w:r>
      <w:r>
        <w:rPr>
          <w:rFonts w:eastAsia="SimSun"/>
          <w:lang w:eastAsia="zh-CN"/>
        </w:rPr>
        <w:tab/>
      </w:r>
      <w:bookmarkEnd w:id="0"/>
      <w:bookmarkEnd w:id="1"/>
      <w:bookmarkEnd w:id="2"/>
      <w:r>
        <w:rPr>
          <w:rFonts w:eastAsia="SimSun"/>
          <w:lang w:eastAsia="zh-CN"/>
        </w:rPr>
        <w:t>Discussion on 6GR mobility designs</w:t>
      </w:r>
    </w:p>
    <w:p w14:paraId="2D6FA6B1" w14:textId="15C0FF79" w:rsidR="00286EBA" w:rsidRDefault="008A0C8E">
      <w:pPr>
        <w:pStyle w:val="Heading2"/>
        <w:rPr>
          <w:rFonts w:eastAsia="DengXian"/>
          <w:shd w:val="clear" w:color="auto" w:fill="FFFFFF"/>
          <w:lang w:eastAsia="zh-CN"/>
        </w:rPr>
      </w:pPr>
      <w:r>
        <w:rPr>
          <w:rFonts w:eastAsia="DengXian"/>
          <w:shd w:val="clear" w:color="auto" w:fill="FFFFFF"/>
          <w:lang w:eastAsia="zh-CN"/>
        </w:rPr>
        <w:t>2.1</w:t>
      </w:r>
      <w:r>
        <w:rPr>
          <w:rFonts w:eastAsia="DengXian"/>
          <w:shd w:val="clear" w:color="auto" w:fill="FFFFFF"/>
          <w:lang w:eastAsia="zh-CN"/>
        </w:rPr>
        <w:tab/>
        <w:t>6GR mobility procedure</w:t>
      </w:r>
      <w:r w:rsidR="0062465D">
        <w:rPr>
          <w:rFonts w:eastAsia="DengXian"/>
          <w:shd w:val="clear" w:color="auto" w:fill="FFFFFF"/>
          <w:lang w:eastAsia="zh-CN"/>
        </w:rPr>
        <w:t>s</w:t>
      </w:r>
    </w:p>
    <w:p w14:paraId="2F5A9172" w14:textId="77777777" w:rsidR="00286EBA" w:rsidRDefault="008A0C8E">
      <w:pPr>
        <w:rPr>
          <w:rFonts w:eastAsia="DengXian"/>
          <w:lang w:val="en-US" w:eastAsia="zh-CN"/>
        </w:rPr>
      </w:pPr>
      <w:r>
        <w:rPr>
          <w:rFonts w:eastAsia="DengXian"/>
          <w:lang w:val="en-US" w:eastAsia="zh-CN"/>
        </w:rPr>
        <w:t>In order to drive 6GR towards commercial success, 3GPP should focus its efforts towards the key driving factors that will help to deliver this commercial success. One of those factors is that 6GR contributes to reducing the TCO. Over a 10-year period, the capital expenditures (CAPEX) of the RAN amounts to about 50% while the operational expenditures (OPEX) of the RAN amounts to about 65% [2]. Given that this is so: 6G day 1 feature should be designed such that they contribute towards the reduction of both the CAPEX and the OPEX, which will help to drive down the TCO. Some of the design motivations that will help to reduce the OPEX/CAPEX are the following:</w:t>
      </w:r>
    </w:p>
    <w:p w14:paraId="408A7E48" w14:textId="77777777" w:rsidR="00286EBA" w:rsidRDefault="008A0C8E">
      <w:pPr>
        <w:pStyle w:val="ListParagraph"/>
        <w:numPr>
          <w:ilvl w:val="0"/>
          <w:numId w:val="9"/>
        </w:numPr>
        <w:ind w:firstLineChars="0"/>
        <w:rPr>
          <w:rFonts w:eastAsia="DengXian"/>
          <w:lang w:val="en-US" w:eastAsia="zh-CN"/>
        </w:rPr>
      </w:pPr>
      <w:r>
        <w:rPr>
          <w:rFonts w:eastAsia="DengXian"/>
          <w:lang w:val="en-US" w:eastAsia="zh-CN"/>
        </w:rPr>
        <w:t>energy saving,</w:t>
      </w:r>
    </w:p>
    <w:p w14:paraId="1C1B6F05" w14:textId="77777777" w:rsidR="00286EBA" w:rsidRDefault="008A0C8E">
      <w:pPr>
        <w:pStyle w:val="ListParagraph"/>
        <w:numPr>
          <w:ilvl w:val="0"/>
          <w:numId w:val="9"/>
        </w:numPr>
        <w:ind w:firstLineChars="0"/>
        <w:rPr>
          <w:rFonts w:eastAsia="DengXian"/>
          <w:lang w:val="en-US" w:eastAsia="zh-CN"/>
        </w:rPr>
      </w:pPr>
      <w:r>
        <w:rPr>
          <w:rFonts w:eastAsia="DengXian"/>
          <w:lang w:val="en-US" w:eastAsia="zh-CN"/>
        </w:rPr>
        <w:t>system simplification,</w:t>
      </w:r>
    </w:p>
    <w:p w14:paraId="637EC4A4" w14:textId="77777777" w:rsidR="00286EBA" w:rsidRDefault="008A0C8E">
      <w:pPr>
        <w:pStyle w:val="ListParagraph"/>
        <w:numPr>
          <w:ilvl w:val="0"/>
          <w:numId w:val="9"/>
        </w:numPr>
        <w:ind w:firstLineChars="0"/>
        <w:rPr>
          <w:rFonts w:eastAsia="DengXian"/>
          <w:lang w:val="en-US" w:eastAsia="zh-CN"/>
        </w:rPr>
      </w:pPr>
      <w:r>
        <w:rPr>
          <w:rFonts w:eastAsia="DengXian"/>
          <w:lang w:val="en-US" w:eastAsia="zh-CN"/>
        </w:rPr>
        <w:t>spectral efficiency enhancement.</w:t>
      </w:r>
    </w:p>
    <w:p w14:paraId="114ABFC4" w14:textId="77777777" w:rsidR="00286EBA" w:rsidRDefault="008A0C8E">
      <w:pPr>
        <w:rPr>
          <w:rFonts w:eastAsia="DengXian"/>
          <w:lang w:val="en-US" w:eastAsia="zh-CN"/>
        </w:rPr>
      </w:pPr>
      <w:r>
        <w:rPr>
          <w:rFonts w:eastAsia="DengXian"/>
          <w:lang w:val="en-US" w:eastAsia="zh-CN"/>
        </w:rPr>
        <w:t xml:space="preserve">In the context of mobility and beam management, system simplification should be understood as reducing the complexity of the overall procedures. 5G NR introduced many mobility solutions such as L3-Handover (L3-HO), Dual Active Protocol Stack-Handover (DAPS-HO), Conditional Handover (CHO), RACH-less Handover and L1/L2-Triggered mobility (LTM). In real-world 5G deployments, L3-HO still is the most widely deployed solution due to its simplicity and broad applicability. DAPS-HO wasn’t </w:t>
      </w:r>
      <w:r>
        <w:rPr>
          <w:rFonts w:eastAsia="DengXian" w:hint="eastAsia"/>
          <w:lang w:val="en-US" w:eastAsia="zh-CN"/>
        </w:rPr>
        <w:t>succ</w:t>
      </w:r>
      <w:r>
        <w:rPr>
          <w:rFonts w:eastAsia="DengXian"/>
          <w:lang w:val="en-US" w:eastAsia="zh-CN"/>
        </w:rPr>
        <w:t>essful because of the implementation complexity to support dual uplink protocol stack and the lack of compatibility with Carrier Aggregation. CHO also wasn’t commercially adopted because its additional complexity at the network side in terms of resource pre-allocation and the complexity of setting proper conditions to determine the target cell were too high as compared with the rather limited deployment scenarios in which handover robustness was an issue. LTM was standardized in the later stages of 5G, its applicability in Rel-18 is limited to intra-CU scenarios while its enhancement in Rel-19 extended its applicability to inter-CU scenarios, it has the same resource pre-allocation issue like CHO, and its expected benefit, reduced interruption time, is the same like DAPS-HO. So 5G NR created a situation where having multiple mobility solutions didn’t lead to broad commercialization. In light of that, the lesson RAN2 should learn from 5G NR is that 6GR mobility should consider a mobility solution that jointly considers practical deployment scenarios, handover performance and UE/NW implementation complexity from day 1. In Rel-19, event-triggered L1 measurement reporting was specified specifically for beam management, with a solution very similar to existing event-triggered L3 reporting from Rel-15, and also very similar to event-triggered L1 measurement reporting for LTM, increasing the cost of deploying such solutions simultaneously.</w:t>
      </w:r>
    </w:p>
    <w:p w14:paraId="7BAB832A" w14:textId="77777777" w:rsidR="00286EBA" w:rsidRDefault="008A0C8E">
      <w:pPr>
        <w:pStyle w:val="Observation-HW"/>
        <w:rPr>
          <w:b w:val="0"/>
        </w:rPr>
      </w:pPr>
      <w:bookmarkStart w:id="3" w:name="_Hlk209445960"/>
      <w:r>
        <w:lastRenderedPageBreak/>
        <w:t>Observation 1:</w:t>
      </w:r>
      <w:r>
        <w:tab/>
        <w:t>6GR mobility and beam management framework should jointly consider practical deployment scenarios, handover performance and UE/NW implementation complexity from day 1.</w:t>
      </w:r>
    </w:p>
    <w:bookmarkEnd w:id="3"/>
    <w:p w14:paraId="41A9DCF6" w14:textId="28158A58" w:rsidR="00286EBA" w:rsidRDefault="008A0C8E">
      <w:pPr>
        <w:pStyle w:val="Heading3"/>
        <w:rPr>
          <w:rFonts w:eastAsia="SimSun"/>
        </w:rPr>
      </w:pPr>
      <w:r>
        <w:rPr>
          <w:rFonts w:eastAsia="SimSun"/>
        </w:rPr>
        <w:t>2.1.1</w:t>
      </w:r>
      <w:r>
        <w:rPr>
          <w:rFonts w:eastAsia="SimSun"/>
        </w:rPr>
        <w:tab/>
        <w:t>6GR mobility deployment scenarios</w:t>
      </w:r>
    </w:p>
    <w:p w14:paraId="2C8E9C50" w14:textId="3FA68B4F" w:rsidR="00286EBA" w:rsidRDefault="008A0C8E">
      <w:pPr>
        <w:rPr>
          <w:rFonts w:eastAsia="DengXian"/>
          <w:lang w:eastAsia="zh-CN"/>
        </w:rPr>
      </w:pPr>
      <w:r>
        <w:rPr>
          <w:rFonts w:eastAsia="DengXian"/>
          <w:lang w:eastAsia="zh-CN"/>
        </w:rPr>
        <w:t xml:space="preserve">As per the 6G SID [1], 6GR should support mobility in all RRC states as well as migration from 5G NR to 6GR and interworking and mobility between 5G NR and 6GR. This means that RAN2 needs to study intra-RAT mobility scenarios and inter-RAT mobility scenarios. </w:t>
      </w:r>
      <w:bookmarkStart w:id="4" w:name="_Hlk209446147"/>
      <w:r>
        <w:rPr>
          <w:rFonts w:eastAsia="DengXian"/>
          <w:lang w:eastAsia="zh-CN"/>
        </w:rPr>
        <w:t xml:space="preserve">Intra-RAT mobility scenarios further comprise intra-cell mobility scenarios (which may be handled through beam management procedures) and inter-cell mobility scenarios (which may be handled through mobility procedures). </w:t>
      </w:r>
      <w:bookmarkEnd w:id="4"/>
      <w:r>
        <w:rPr>
          <w:rFonts w:eastAsia="DengXian"/>
          <w:lang w:eastAsia="zh-CN"/>
        </w:rPr>
        <w:t xml:space="preserve">Early stages of 6GR deployment will likely take place as limited 6G radio coverage while 5G NR is deployed, mature and provides continuous coverage, therefore RAN2 needs to study mobility scenarios where UEs move from 6GR to 5G NR as that will be crucial to guarantee the user experience during the early stages of 6GR deployment. However, during the 6GR SI RAN2 should study intra-RAT mobility scenarios as </w:t>
      </w:r>
      <w:r w:rsidR="0058395B">
        <w:rPr>
          <w:rFonts w:eastAsia="DengXian"/>
          <w:lang w:eastAsia="zh-CN"/>
        </w:rPr>
        <w:t>a priority</w:t>
      </w:r>
      <w:r>
        <w:rPr>
          <w:rFonts w:eastAsia="DengXian"/>
          <w:lang w:eastAsia="zh-CN"/>
        </w:rPr>
        <w:t xml:space="preserve"> and study inter-RAT mobility scenarios as a second priority.</w:t>
      </w:r>
    </w:p>
    <w:p w14:paraId="760F85D2" w14:textId="77777777" w:rsidR="00286EBA" w:rsidRPr="0050061B" w:rsidRDefault="008A0C8E" w:rsidP="0050061B">
      <w:pPr>
        <w:pStyle w:val="Proposal-HW"/>
      </w:pPr>
      <w:r w:rsidRPr="0050061B">
        <w:t>Proposal 1:</w:t>
      </w:r>
      <w:r w:rsidRPr="0050061B">
        <w:tab/>
        <w:t>RAN2 should study intra-RAT handover and inter-RAT handover in 6GR. RAN2 should start with intra-RAT handover, followed by inter-RAT handover (e.g., 6G to 5G handover).</w:t>
      </w:r>
    </w:p>
    <w:p w14:paraId="75BA010E" w14:textId="102B081F" w:rsidR="00286EBA" w:rsidRDefault="008A0C8E">
      <w:pPr>
        <w:pStyle w:val="Heading3"/>
        <w:rPr>
          <w:rFonts w:eastAsia="SimSun"/>
        </w:rPr>
      </w:pPr>
      <w:r>
        <w:rPr>
          <w:rFonts w:eastAsia="SimSun"/>
        </w:rPr>
        <w:t>2.1.2</w:t>
      </w:r>
      <w:r>
        <w:rPr>
          <w:rFonts w:eastAsia="SimSun"/>
        </w:rPr>
        <w:tab/>
        <w:t xml:space="preserve">6GR </w:t>
      </w:r>
      <w:r>
        <w:rPr>
          <w:rFonts w:eastAsia="DengXian"/>
          <w:shd w:val="clear" w:color="auto" w:fill="FFFFFF"/>
          <w:lang w:eastAsia="zh-CN"/>
        </w:rPr>
        <w:t xml:space="preserve">handover </w:t>
      </w:r>
      <w:r>
        <w:rPr>
          <w:rFonts w:eastAsia="SimSun"/>
        </w:rPr>
        <w:t>design targets</w:t>
      </w:r>
    </w:p>
    <w:p w14:paraId="7BC759E3" w14:textId="77777777" w:rsidR="00286EBA" w:rsidRDefault="008A0C8E">
      <w:pPr>
        <w:rPr>
          <w:rFonts w:eastAsia="DengXian"/>
          <w:lang w:eastAsia="zh-CN"/>
        </w:rPr>
      </w:pPr>
      <w:r>
        <w:rPr>
          <w:rFonts w:eastAsia="DengXian"/>
          <w:lang w:eastAsia="zh-CN"/>
        </w:rPr>
        <w:t xml:space="preserve">5G NR introduced multiple mobility solutions throughout its standardization cycle however the most widely adopted solution remains the Rel-15 L3-HO solution due to its simplicity and broad applicability. Although the subsequent mobility solutions satisfied specific requirements such as e.g., reducing the interruption time or providing robustness, they all introduced implementation complexity </w:t>
      </w:r>
      <w:r>
        <w:rPr>
          <w:rFonts w:eastAsia="DengXian" w:hint="eastAsia"/>
          <w:lang w:eastAsia="zh-CN"/>
        </w:rPr>
        <w:t>and</w:t>
      </w:r>
      <w:r>
        <w:rPr>
          <w:rFonts w:eastAsia="DengXian"/>
          <w:lang w:eastAsia="zh-CN"/>
        </w:rPr>
        <w:t xml:space="preserve"> resource overhead either at the UE side or at the network side. Therefore, network implementation complexity and UE implementation complexity are critical factors in determining whether a mobility solution will be adopted commercially or not.</w:t>
      </w:r>
    </w:p>
    <w:p w14:paraId="29D05792" w14:textId="77777777" w:rsidR="00286EBA" w:rsidRDefault="008A0C8E">
      <w:pPr>
        <w:pStyle w:val="Observation-HW"/>
        <w:rPr>
          <w:b w:val="0"/>
        </w:rPr>
      </w:pPr>
      <w:r>
        <w:t xml:space="preserve">Observation 2: </w:t>
      </w:r>
      <w:r>
        <w:tab/>
        <w:t>UE and network implementation complexity is a critical factor in commercial adoption of mobility solutions.</w:t>
      </w:r>
    </w:p>
    <w:p w14:paraId="2A827E12" w14:textId="25BD7FDA" w:rsidR="00286EBA" w:rsidRDefault="008A0C8E">
      <w:pPr>
        <w:rPr>
          <w:rFonts w:eastAsia="DengXian"/>
          <w:lang w:eastAsia="zh-CN"/>
        </w:rPr>
      </w:pPr>
      <w:r>
        <w:rPr>
          <w:rFonts w:eastAsia="DengXian"/>
          <w:lang w:eastAsia="zh-CN"/>
        </w:rPr>
        <w:t xml:space="preserve">All mobility procedures follow three steps which can broadly be categorized as: preparation, execution and completion. 5G NR introduced multiple mobility procedures: L3-HO, DAPS-HO, CHO, LTM and RACH-less HO. Only the L3-HO solution has been commercially adopted as the other solutions all added some level of implementation complexity (either on the UE side or on the network side) which added hurdles in terms of commercial adoption. The main lesson to learn from 5G NR for 6GR mobility design is to strive to define one mobility solution which addresses </w:t>
      </w:r>
      <w:r w:rsidR="0050061B">
        <w:rPr>
          <w:rFonts w:eastAsia="DengXian"/>
          <w:lang w:eastAsia="zh-CN"/>
        </w:rPr>
        <w:t>most</w:t>
      </w:r>
      <w:r>
        <w:rPr>
          <w:rFonts w:eastAsia="DengXian"/>
          <w:lang w:eastAsia="zh-CN"/>
        </w:rPr>
        <w:t xml:space="preserve"> real-world deployment scenarios, with implementation complexity balanced out between UEs and the network.</w:t>
      </w:r>
    </w:p>
    <w:p w14:paraId="6B2B3827" w14:textId="7914259E" w:rsidR="00286EBA" w:rsidRDefault="0050061B">
      <w:pPr>
        <w:rPr>
          <w:rFonts w:eastAsia="DengXian"/>
          <w:lang w:eastAsia="zh-CN"/>
        </w:rPr>
      </w:pPr>
      <w:r>
        <w:rPr>
          <w:rFonts w:eastAsia="DengXian"/>
          <w:lang w:eastAsia="zh-CN"/>
        </w:rPr>
        <w:t>To</w:t>
      </w:r>
      <w:r w:rsidR="008A0C8E">
        <w:rPr>
          <w:rFonts w:eastAsia="DengXian"/>
          <w:lang w:eastAsia="zh-CN"/>
        </w:rPr>
        <w:t xml:space="preserve"> ensure high quality user experience, it is necessary that mobility procedures minimize the latency/interruption time as much as possible. The interruption time for mobility procedures is defined as the time interval between the end of the time-slot where the UE received the handover command from the source base-station and the start of the time-slot where the UE starts the PUSCH transmission that carries the RRC reconfiguration complete message towards the target base-station, which marks the end of the handover procedure. In 5G NR the processing time associated with the reception of an RRC reconfiguration message is 10 ms, and the RACH procedure delay (from the PRACH transmission to the reception of the </w:t>
      </w:r>
      <w:r>
        <w:rPr>
          <w:rFonts w:eastAsia="DengXian"/>
          <w:lang w:eastAsia="zh-CN"/>
        </w:rPr>
        <w:t>random-access</w:t>
      </w:r>
      <w:r w:rsidR="008A0C8E">
        <w:rPr>
          <w:rFonts w:eastAsia="DengXian"/>
          <w:lang w:eastAsia="zh-CN"/>
        </w:rPr>
        <w:t xml:space="preserve"> response message) may be assumed to be in the order of 10 ms. Latency/Interruption time in mobility procedures is subject to multiple sources of delay, we will use the interruption time formula provided for L3-HO in [3] as a reference point:</w:t>
      </w:r>
    </w:p>
    <w:p w14:paraId="7416122C" w14:textId="77777777" w:rsidR="00286EBA" w:rsidRDefault="00D908A5">
      <w:pPr>
        <w:rPr>
          <w:rFonts w:eastAsia="DengXian"/>
          <w:iCs/>
          <w:lang w:eastAsia="zh-CN"/>
        </w:rPr>
      </w:pPr>
      <m:oMathPara>
        <m:oMath>
          <m:sSub>
            <m:sSubPr>
              <m:ctrlPr>
                <w:rPr>
                  <w:rFonts w:ascii="Cambria Math" w:eastAsia="DengXian" w:hAnsi="Cambria Math"/>
                  <w:iCs/>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interruption</m:t>
              </m:r>
            </m:sub>
          </m:sSub>
          <m:r>
            <m:rPr>
              <m:sty m:val="p"/>
            </m:rPr>
            <w:rPr>
              <w:rFonts w:ascii="Cambria Math" w:eastAsia="DengXian" w:hAnsi="Cambria Math"/>
              <w:lang w:eastAsia="zh-CN"/>
            </w:rPr>
            <m:t>=</m:t>
          </m:r>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search</m:t>
              </m:r>
            </m:sub>
            <m:sup>
              <m:r>
                <m:rPr>
                  <m:sty m:val="p"/>
                </m:rPr>
                <w:rPr>
                  <w:rFonts w:ascii="Cambria Math" w:eastAsia="DengXian" w:hAnsi="Cambria Math"/>
                  <w:lang w:eastAsia="zh-CN"/>
                </w:rPr>
                <m:t>target</m:t>
              </m:r>
            </m:sup>
          </m:sSubSup>
          <m:r>
            <m:rPr>
              <m:sty m:val="p"/>
            </m:rPr>
            <w:rPr>
              <w:rFonts w:ascii="Cambria Math" w:eastAsia="DengXian" w:hAnsi="Cambria Math"/>
              <w:lang w:eastAsia="zh-CN"/>
            </w:rPr>
            <m:t>+</m:t>
          </m:r>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uncertainty</m:t>
              </m:r>
            </m:sub>
            <m:sup>
              <m:r>
                <m:rPr>
                  <m:sty m:val="p"/>
                </m:rPr>
                <w:rPr>
                  <w:rFonts w:ascii="Cambria Math" w:eastAsia="DengXian" w:hAnsi="Cambria Math"/>
                  <w:lang w:eastAsia="zh-CN"/>
                </w:rPr>
                <m:t>PUSCH</m:t>
              </m:r>
            </m:sup>
          </m:sSubSup>
          <m:r>
            <m:rPr>
              <m:sty m:val="p"/>
            </m:rPr>
            <w:rPr>
              <w:rFonts w:ascii="Cambria Math" w:eastAsia="DengXian" w:hAnsi="Cambria Math"/>
              <w:lang w:eastAsia="zh-CN"/>
            </w:rPr>
            <m:t>+</m:t>
          </m:r>
          <m:sSubSup>
            <m:sSubSupPr>
              <m:ctrlPr>
                <w:rPr>
                  <w:rFonts w:ascii="Cambria Math" w:eastAsia="DengXian" w:hAnsi="Cambria Math"/>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processing</m:t>
              </m:r>
            </m:sub>
            <m:sup>
              <m:r>
                <m:rPr>
                  <m:sty m:val="p"/>
                </m:rPr>
                <w:rPr>
                  <w:rFonts w:ascii="Cambria Math" w:eastAsia="DengXian" w:hAnsi="Cambria Math"/>
                  <w:lang w:eastAsia="zh-CN"/>
                </w:rPr>
                <m:t>UE</m:t>
              </m:r>
            </m:sup>
          </m:sSubSup>
          <m:r>
            <m:rPr>
              <m:sty m:val="p"/>
            </m:rPr>
            <w:rPr>
              <w:rFonts w:ascii="Cambria Math" w:eastAsia="DengXian" w:hAnsi="Cambria Math"/>
              <w:lang w:eastAsia="zh-CN"/>
            </w:rPr>
            <m:t>+</m:t>
          </m:r>
          <m:sSub>
            <m:sSubPr>
              <m:ctrlPr>
                <w:rPr>
                  <w:rFonts w:ascii="Cambria Math" w:eastAsia="DengXian" w:hAnsi="Cambria Math"/>
                  <w:iCs/>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full-timing</m:t>
              </m:r>
            </m:sub>
          </m:sSub>
          <m:r>
            <m:rPr>
              <m:sty m:val="p"/>
            </m:rPr>
            <w:rPr>
              <w:rFonts w:ascii="Cambria Math" w:eastAsia="DengXian" w:hAnsi="Cambria Math"/>
              <w:lang w:eastAsia="zh-CN"/>
            </w:rPr>
            <m:t>+</m:t>
          </m:r>
          <m:sSub>
            <m:sSubPr>
              <m:ctrlPr>
                <w:rPr>
                  <w:rFonts w:ascii="Cambria Math" w:eastAsia="DengXian" w:hAnsi="Cambria Math"/>
                  <w:iCs/>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margin</m:t>
              </m:r>
            </m:sub>
          </m:sSub>
        </m:oMath>
      </m:oMathPara>
    </w:p>
    <w:p w14:paraId="4F3A2E50" w14:textId="77777777" w:rsidR="00286EBA" w:rsidRDefault="008A0C8E">
      <w:pPr>
        <w:rPr>
          <w:rFonts w:eastAsia="DengXian"/>
          <w:lang w:eastAsia="zh-CN"/>
        </w:rPr>
      </w:pPr>
      <w:r>
        <w:rPr>
          <w:rFonts w:eastAsia="DengXian"/>
          <w:lang w:eastAsia="zh-CN"/>
        </w:rPr>
        <w:t xml:space="preserve">The first source of delay is </w:t>
      </w: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search</m:t>
            </m:r>
          </m:sub>
          <m:sup>
            <m:r>
              <m:rPr>
                <m:sty m:val="p"/>
              </m:rPr>
              <w:rPr>
                <w:rFonts w:ascii="Cambria Math" w:eastAsia="DengXian" w:hAnsi="Cambria Math"/>
                <w:lang w:eastAsia="zh-CN"/>
              </w:rPr>
              <m:t>target</m:t>
            </m:r>
          </m:sup>
        </m:sSubSup>
      </m:oMath>
      <w:r>
        <w:rPr>
          <w:rFonts w:eastAsia="DengXian"/>
          <w:lang w:eastAsia="zh-CN"/>
        </w:rPr>
        <w:t xml:space="preserve"> which is the time it may take to search and find the target cell when the target cell is not already known to the UE, though in typical mobility scenarios the target cell is known by the UE meaning that </w:t>
      </w: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search</m:t>
            </m:r>
          </m:sub>
          <m:sup>
            <m:r>
              <m:rPr>
                <m:sty m:val="p"/>
              </m:rPr>
              <w:rPr>
                <w:rFonts w:ascii="Cambria Math" w:eastAsia="DengXian" w:hAnsi="Cambria Math"/>
                <w:lang w:eastAsia="zh-CN"/>
              </w:rPr>
              <m:t>target</m:t>
            </m:r>
          </m:sup>
        </m:sSubSup>
        <m:r>
          <w:rPr>
            <w:rFonts w:ascii="Cambria Math" w:eastAsia="DengXian" w:hAnsi="Cambria Math"/>
            <w:lang w:eastAsia="zh-CN"/>
          </w:rPr>
          <m:t>=0</m:t>
        </m:r>
      </m:oMath>
      <w:r>
        <w:rPr>
          <w:rFonts w:eastAsia="DengXian"/>
          <w:iCs/>
          <w:lang w:eastAsia="zh-CN"/>
        </w:rPr>
        <w:t>, therefore we can reasonably ignore this term</w:t>
      </w:r>
      <w:r>
        <w:rPr>
          <w:rFonts w:eastAsia="DengXian"/>
          <w:lang w:eastAsia="zh-CN"/>
        </w:rPr>
        <w:t>.</w:t>
      </w:r>
    </w:p>
    <w:p w14:paraId="6A9EFE60" w14:textId="3DA67FC3" w:rsidR="00286EBA" w:rsidRDefault="008A0C8E">
      <w:pPr>
        <w:rPr>
          <w:rFonts w:eastAsia="DengXian"/>
          <w:lang w:eastAsia="zh-CN"/>
        </w:rPr>
      </w:pPr>
      <w:r>
        <w:rPr>
          <w:rFonts w:eastAsia="DengXian"/>
          <w:lang w:eastAsia="zh-CN"/>
        </w:rPr>
        <w:t xml:space="preserve">The second source of delay is </w:t>
      </w: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uncertainty</m:t>
            </m:r>
          </m:sub>
          <m:sup>
            <m:r>
              <m:rPr>
                <m:sty m:val="p"/>
              </m:rPr>
              <w:rPr>
                <w:rFonts w:ascii="Cambria Math" w:eastAsia="DengXian" w:hAnsi="Cambria Math"/>
                <w:lang w:eastAsia="zh-CN"/>
              </w:rPr>
              <m:t>PUSCH</m:t>
            </m:r>
          </m:sup>
        </m:sSubSup>
      </m:oMath>
      <w:r>
        <w:rPr>
          <w:rFonts w:eastAsia="DengXian"/>
          <w:iCs/>
          <w:lang w:eastAsia="zh-CN"/>
        </w:rPr>
        <w:t xml:space="preserve"> which is </w:t>
      </w:r>
      <w:r>
        <w:rPr>
          <w:rFonts w:eastAsia="DengXian"/>
          <w:lang w:eastAsia="zh-CN"/>
        </w:rPr>
        <w:t xml:space="preserve">the interruption uncertainty related to the PUSCH transmission that carries the RRC reconfiguration complete message. Subject to the type of mobility scenario, the mobility procedure may be RACH-less or RACH-based. For the RACH-less mobility procedure, the interruption uncertainty is related to the time-based resource for the PUSCH transmission carrying the RRC reconfiguration complete message, assuming that the UE already has UL synchronization. For the RACH-based mobility procedure, the interruption uncertainty also needs to account for PRACH-related uncertainty due to the acquisition of the first available PRACH occasion </w:t>
      </w:r>
      <w:r w:rsidR="00971CCC">
        <w:rPr>
          <w:rFonts w:eastAsia="DengXian"/>
          <w:lang w:eastAsia="zh-CN"/>
        </w:rPr>
        <w:t>to</w:t>
      </w:r>
      <w:r>
        <w:rPr>
          <w:rFonts w:eastAsia="DengXian"/>
          <w:lang w:eastAsia="zh-CN"/>
        </w:rPr>
        <w:t xml:space="preserve"> send the first PRACH transmission towards the target cell and acquire UL synchronization (</w:t>
      </w:r>
      <w:r w:rsidR="00971CCC">
        <w:rPr>
          <w:rFonts w:eastAsia="DengXian"/>
          <w:lang w:eastAsia="zh-CN"/>
        </w:rPr>
        <w:t>i.e.,</w:t>
      </w:r>
      <w:r>
        <w:rPr>
          <w:rFonts w:eastAsia="DengXian"/>
          <w:lang w:eastAsia="zh-CN"/>
        </w:rPr>
        <w:t xml:space="preserve"> setting the appropriate Timing Advance). PRACH-related uncertainty is due to the SS/PBCH block to PRACH occasion association period </w:t>
      </w:r>
      <w:r>
        <w:rPr>
          <w:rFonts w:eastAsia="DengXian"/>
          <w:lang w:eastAsia="zh-CN"/>
        </w:rPr>
        <w:lastRenderedPageBreak/>
        <w:t>which defines the number of PRACH configuration periods on a per system frame basis (</w:t>
      </w:r>
      <w:r w:rsidR="00971CCC">
        <w:rPr>
          <w:rFonts w:eastAsia="DengXian"/>
          <w:lang w:eastAsia="zh-CN"/>
        </w:rPr>
        <w:t>i.e.,</w:t>
      </w:r>
      <w:r>
        <w:rPr>
          <w:rFonts w:eastAsia="DengXian"/>
          <w:lang w:eastAsia="zh-CN"/>
        </w:rPr>
        <w:t xml:space="preserve"> 10 ms). In typical mobility scenarios, this processing delay is in the order of 10-20 ms.</w:t>
      </w:r>
    </w:p>
    <w:p w14:paraId="16C6A407" w14:textId="77777777" w:rsidR="00286EBA" w:rsidRDefault="008A0C8E">
      <w:pPr>
        <w:rPr>
          <w:rFonts w:eastAsia="DengXian"/>
          <w:lang w:eastAsia="zh-CN"/>
        </w:rPr>
      </w:pPr>
      <w:r>
        <w:rPr>
          <w:rFonts w:eastAsia="DengXian"/>
          <w:lang w:eastAsia="zh-CN"/>
        </w:rPr>
        <w:t xml:space="preserve">The third source of delay is </w:t>
      </w:r>
      <m:oMath>
        <m:sSubSup>
          <m:sSubSupPr>
            <m:ctrlPr>
              <w:rPr>
                <w:rFonts w:ascii="Cambria Math" w:eastAsia="DengXian" w:hAnsi="Cambria Math"/>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processing</m:t>
            </m:r>
          </m:sub>
          <m:sup>
            <m:r>
              <m:rPr>
                <m:sty m:val="p"/>
              </m:rPr>
              <w:rPr>
                <w:rFonts w:ascii="Cambria Math" w:eastAsia="DengXian" w:hAnsi="Cambria Math"/>
                <w:lang w:eastAsia="zh-CN"/>
              </w:rPr>
              <m:t>UE</m:t>
            </m:r>
          </m:sup>
        </m:sSubSup>
      </m:oMath>
      <w:r>
        <w:rPr>
          <w:rFonts w:eastAsia="DengXian"/>
          <w:lang w:eastAsia="zh-CN"/>
        </w:rPr>
        <w:t xml:space="preserve"> which is the time that the UE may need to perform tasks such as: RF re-tuning for Tx/Rx beam switching, baseband re-tuning for BWP adaptation, AS security key update for continuous secure communication. This delay is unavoidable in the sense that it is inherently present in the mobility procedure. In typical mobility scenarios where the UE knows about the target base-station, this processing delay is in the order of 10-20 ms.</w:t>
      </w:r>
    </w:p>
    <w:p w14:paraId="271AB7B0" w14:textId="77777777" w:rsidR="00286EBA" w:rsidRDefault="008A0C8E">
      <w:pPr>
        <w:rPr>
          <w:rFonts w:eastAsia="DengXian"/>
          <w:lang w:eastAsia="zh-CN"/>
        </w:rPr>
      </w:pPr>
      <w:r>
        <w:rPr>
          <w:rFonts w:eastAsia="DengXian"/>
          <w:lang w:eastAsia="zh-CN"/>
        </w:rPr>
        <w:t xml:space="preserve">The fourth source of delay is </w:t>
      </w:r>
      <m:oMath>
        <m:sSub>
          <m:sSubPr>
            <m:ctrlPr>
              <w:rPr>
                <w:rFonts w:ascii="Cambria Math" w:eastAsia="DengXian" w:hAnsi="Cambria Math"/>
                <w:iCs/>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full-timing</m:t>
            </m:r>
          </m:sub>
        </m:sSub>
      </m:oMath>
      <w:r>
        <w:rPr>
          <w:rFonts w:eastAsia="DengXian"/>
          <w:lang w:eastAsia="zh-CN"/>
        </w:rPr>
        <w:t xml:space="preserve"> which is the processing delay associated with the UE acquiring fine synchronization and full timing information of the target base-station. Given that UEs are typically configured with SMTC to measure SS/PBCH blocks from neighbouring base-stations, this processing delay is in the order of 5 ms.</w:t>
      </w:r>
    </w:p>
    <w:p w14:paraId="15D449B1" w14:textId="77777777" w:rsidR="00286EBA" w:rsidRDefault="008A0C8E">
      <w:pPr>
        <w:rPr>
          <w:rFonts w:eastAsia="DengXian"/>
          <w:lang w:eastAsia="zh-CN"/>
        </w:rPr>
      </w:pPr>
      <w:r>
        <w:rPr>
          <w:rFonts w:eastAsia="DengXian"/>
          <w:lang w:eastAsia="zh-CN"/>
        </w:rPr>
        <w:t xml:space="preserve">The fifth source of delay is </w:t>
      </w:r>
      <m:oMath>
        <m:sSub>
          <m:sSubPr>
            <m:ctrlPr>
              <w:rPr>
                <w:rFonts w:ascii="Cambria Math" w:eastAsia="DengXian" w:hAnsi="Cambria Math"/>
                <w:iCs/>
                <w:lang w:eastAsia="zh-CN"/>
              </w:rPr>
            </m:ctrlPr>
          </m:sSubPr>
          <m:e>
            <m:r>
              <m:rPr>
                <m:sty m:val="p"/>
              </m:rPr>
              <w:rPr>
                <w:rFonts w:ascii="Cambria Math" w:eastAsia="DengXian" w:hAnsi="Cambria Math"/>
                <w:lang w:eastAsia="zh-CN"/>
              </w:rPr>
              <m:t>T</m:t>
            </m:r>
          </m:e>
          <m:sub>
            <m:r>
              <m:rPr>
                <m:sty m:val="p"/>
              </m:rPr>
              <w:rPr>
                <w:rFonts w:ascii="Cambria Math" w:eastAsia="DengXian" w:hAnsi="Cambria Math"/>
                <w:lang w:eastAsia="zh-CN"/>
              </w:rPr>
              <m:t>margin</m:t>
            </m:r>
          </m:sub>
        </m:sSub>
      </m:oMath>
      <w:r>
        <w:rPr>
          <w:rFonts w:eastAsia="DengXian"/>
          <w:lang w:eastAsia="zh-CN"/>
        </w:rPr>
        <w:t xml:space="preserve"> which is the processing delay associated with SS/PBCH block post-processing. This processing delay is in order of 2 ms.</w:t>
      </w:r>
    </w:p>
    <w:p w14:paraId="315FBE35" w14:textId="77777777" w:rsidR="00286EBA" w:rsidRDefault="008A0C8E">
      <w:pPr>
        <w:rPr>
          <w:rFonts w:eastAsia="DengXian"/>
          <w:lang w:eastAsia="zh-CN"/>
        </w:rPr>
      </w:pPr>
      <w:r>
        <w:rPr>
          <w:rFonts w:eastAsia="DengXian"/>
          <w:lang w:eastAsia="zh-CN"/>
        </w:rPr>
        <w:t xml:space="preserve">Based on this analysis, the main bottlenecks contributing to latency/interruption time during the mobility procedure are the </w:t>
      </w:r>
      <m:oMath>
        <m:sSubSup>
          <m:sSubSupPr>
            <m:ctrlPr>
              <w:rPr>
                <w:rFonts w:ascii="Cambria Math" w:eastAsia="DengXian" w:hAnsi="Cambria Math"/>
                <w:iCs/>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uncertainty</m:t>
            </m:r>
          </m:sub>
          <m:sup>
            <m:r>
              <m:rPr>
                <m:sty m:val="p"/>
              </m:rPr>
              <w:rPr>
                <w:rFonts w:ascii="Cambria Math" w:eastAsia="DengXian" w:hAnsi="Cambria Math"/>
                <w:lang w:eastAsia="zh-CN"/>
              </w:rPr>
              <m:t>PRACH</m:t>
            </m:r>
          </m:sup>
        </m:sSubSup>
      </m:oMath>
      <w:r>
        <w:rPr>
          <w:rFonts w:eastAsia="DengXian"/>
          <w:lang w:eastAsia="zh-CN"/>
        </w:rPr>
        <w:t xml:space="preserve"> and the </w:t>
      </w:r>
      <m:oMath>
        <m:sSubSup>
          <m:sSubSupPr>
            <m:ctrlPr>
              <w:rPr>
                <w:rFonts w:ascii="Cambria Math" w:eastAsia="DengXian" w:hAnsi="Cambria Math"/>
                <w:lang w:eastAsia="zh-CN"/>
              </w:rPr>
            </m:ctrlPr>
          </m:sSubSupPr>
          <m:e>
            <m:r>
              <m:rPr>
                <m:sty m:val="p"/>
              </m:rPr>
              <w:rPr>
                <w:rFonts w:ascii="Cambria Math" w:eastAsia="DengXian" w:hAnsi="Cambria Math"/>
                <w:lang w:eastAsia="zh-CN"/>
              </w:rPr>
              <m:t>T</m:t>
            </m:r>
          </m:e>
          <m:sub>
            <m:r>
              <m:rPr>
                <m:sty m:val="p"/>
              </m:rPr>
              <w:rPr>
                <w:rFonts w:ascii="Cambria Math" w:eastAsia="DengXian" w:hAnsi="Cambria Math"/>
                <w:lang w:eastAsia="zh-CN"/>
              </w:rPr>
              <m:t>processing</m:t>
            </m:r>
          </m:sub>
          <m:sup>
            <m:r>
              <m:rPr>
                <m:sty m:val="p"/>
              </m:rPr>
              <w:rPr>
                <w:rFonts w:ascii="Cambria Math" w:eastAsia="DengXian" w:hAnsi="Cambria Math"/>
                <w:lang w:eastAsia="zh-CN"/>
              </w:rPr>
              <m:t>UE</m:t>
            </m:r>
          </m:sup>
        </m:sSubSup>
      </m:oMath>
      <w:r>
        <w:rPr>
          <w:rFonts w:eastAsia="DengXian"/>
          <w:lang w:eastAsia="zh-CN"/>
        </w:rPr>
        <w:t xml:space="preserve"> terms. Mobility procedures may be either RACH-based or RACH-less, subject to the type of scenario. While a RACH-less handover procedure incurs less latency, 6GR still needs a procedure for the UE to maintain UL synchronization.</w:t>
      </w:r>
    </w:p>
    <w:p w14:paraId="210AB780" w14:textId="77777777" w:rsidR="00286EBA" w:rsidRDefault="008A0C8E">
      <w:pPr>
        <w:pStyle w:val="Observation-HW"/>
        <w:rPr>
          <w:b w:val="0"/>
        </w:rPr>
      </w:pPr>
      <w:r>
        <w:t>Observation 3:</w:t>
      </w:r>
      <w:r>
        <w:tab/>
        <w:t>UE processing and interruption uncertainty related to PRACH are the main bottlenecks that contribute to latency/interruption during mobility procedures.</w:t>
      </w:r>
    </w:p>
    <w:p w14:paraId="332E5F00" w14:textId="77777777" w:rsidR="00286EBA" w:rsidRDefault="008A0C8E">
      <w:pPr>
        <w:rPr>
          <w:rFonts w:eastAsia="DengXian"/>
          <w:lang w:eastAsia="zh-CN"/>
        </w:rPr>
      </w:pPr>
      <w:r>
        <w:rPr>
          <w:rFonts w:eastAsia="DengXian"/>
          <w:lang w:eastAsia="zh-CN"/>
        </w:rPr>
        <w:t>In addition to the latency/interruption time, another aspect that has impact to UE experience is the data loss problem during handover. In the mobility procedure, layer 2 protocol reset or re-establishment is executed and some buffered data will be flushed at the source cell side, which causes data loss. In 6GR mobility, RAN2 can study how to reduce data loss to improve mobility experience.</w:t>
      </w:r>
    </w:p>
    <w:p w14:paraId="14FF5101" w14:textId="743E2C01" w:rsidR="00286EBA" w:rsidRDefault="0050061B">
      <w:pPr>
        <w:rPr>
          <w:rFonts w:eastAsia="DengXian"/>
          <w:lang w:eastAsia="zh-CN"/>
        </w:rPr>
      </w:pPr>
      <w:r>
        <w:rPr>
          <w:rFonts w:eastAsia="DengXian"/>
          <w:lang w:eastAsia="zh-CN"/>
        </w:rPr>
        <w:t>To</w:t>
      </w:r>
      <w:r w:rsidR="008A0C8E">
        <w:rPr>
          <w:rFonts w:eastAsia="DengXian"/>
          <w:lang w:eastAsia="zh-CN"/>
        </w:rPr>
        <w:t xml:space="preserve"> ensure the robustness of mobility procedures throughout the UE’s lifetime within a 6GR network, it is necessary to design 6GR mobility procedures such that the handover failure rate is as close as possible to zero. For convenience, we will assume the L3-HO to guide this discussion but different procedures (such as CHO or LTM) have different handover commands. Robustness can be quantified using the number of Handover Failures (HOFs) that occur throughout the UE’s lifetime.</w:t>
      </w:r>
    </w:p>
    <w:p w14:paraId="21D34A37" w14:textId="37802439" w:rsidR="00286EBA" w:rsidRDefault="008A0C8E">
      <w:pPr>
        <w:rPr>
          <w:rFonts w:eastAsia="DengXian"/>
          <w:lang w:eastAsia="zh-CN"/>
        </w:rPr>
      </w:pPr>
      <w:r>
        <w:rPr>
          <w:rFonts w:eastAsia="DengXian"/>
          <w:lang w:eastAsia="zh-CN"/>
        </w:rPr>
        <w:t xml:space="preserve">HOF is determined </w:t>
      </w:r>
      <w:r w:rsidR="0050061B">
        <w:rPr>
          <w:rFonts w:eastAsia="DengXian"/>
          <w:lang w:eastAsia="zh-CN"/>
        </w:rPr>
        <w:t>based on</w:t>
      </w:r>
      <w:r>
        <w:rPr>
          <w:rFonts w:eastAsia="DengXian"/>
          <w:lang w:eastAsia="zh-CN"/>
        </w:rPr>
        <w:t xml:space="preserve"> the time that elapses after a handover command is received while the UE did not complete the handover procedure. T304 is the timer that is used to regulate the handover procedure. T304 starts when the UE receives the RRC reconfiguration message with </w:t>
      </w:r>
      <w:r w:rsidR="0050061B">
        <w:rPr>
          <w:rFonts w:eastAsia="DengXian"/>
          <w:lang w:eastAsia="zh-CN"/>
        </w:rPr>
        <w:t>e.g.,</w:t>
      </w:r>
      <w:r>
        <w:rPr>
          <w:rFonts w:eastAsia="DengXian"/>
          <w:lang w:eastAsia="zh-CN"/>
        </w:rPr>
        <w:t xml:space="preserve"> NR signalling </w:t>
      </w:r>
      <w:r>
        <w:rPr>
          <w:rFonts w:eastAsia="DengXian"/>
          <w:i/>
          <w:iCs/>
          <w:lang w:eastAsia="zh-CN"/>
        </w:rPr>
        <w:t>reconfigurationWithSync</w:t>
      </w:r>
      <w:r>
        <w:rPr>
          <w:rFonts w:eastAsia="DengXian"/>
          <w:lang w:eastAsia="zh-CN"/>
        </w:rPr>
        <w:t xml:space="preserve"> and stops when the UE has successfully transmitted the RRC reconfiguration complete message as part of Msg3 during the </w:t>
      </w:r>
      <w:r w:rsidR="0050061B">
        <w:rPr>
          <w:rFonts w:eastAsia="DengXian"/>
          <w:lang w:eastAsia="zh-CN"/>
        </w:rPr>
        <w:t>random-access</w:t>
      </w:r>
      <w:r>
        <w:rPr>
          <w:rFonts w:eastAsia="DengXian"/>
          <w:lang w:eastAsia="zh-CN"/>
        </w:rPr>
        <w:t xml:space="preserve"> procedure.</w:t>
      </w:r>
    </w:p>
    <w:p w14:paraId="41D2D1F5" w14:textId="77777777" w:rsidR="00286EBA" w:rsidRDefault="008A0C8E">
      <w:pPr>
        <w:rPr>
          <w:rFonts w:eastAsia="DengXian"/>
          <w:lang w:eastAsia="zh-CN"/>
        </w:rPr>
      </w:pPr>
      <w:r>
        <w:rPr>
          <w:rFonts w:eastAsia="DengXian"/>
          <w:lang w:eastAsia="zh-CN"/>
        </w:rPr>
        <w:t xml:space="preserve">One vulnerability point of the L3-HO procedure is that the network may send the RRC reconfiguration message with </w:t>
      </w:r>
      <w:r>
        <w:rPr>
          <w:rFonts w:eastAsia="DengXian"/>
          <w:i/>
          <w:iCs/>
          <w:lang w:eastAsia="zh-CN"/>
        </w:rPr>
        <w:t>reconfigurationWithSync</w:t>
      </w:r>
      <w:r>
        <w:rPr>
          <w:rFonts w:eastAsia="DengXian"/>
          <w:lang w:eastAsia="zh-CN"/>
        </w:rPr>
        <w:t xml:space="preserve"> at a time when the radio conditions of the UE have severely deteriorated. At this point there may be the following outcome: The UE fails to successfully receive the RRC reconfiguration message with </w:t>
      </w:r>
      <w:r>
        <w:rPr>
          <w:rFonts w:eastAsia="DengXian"/>
          <w:i/>
          <w:iCs/>
          <w:lang w:eastAsia="zh-CN"/>
        </w:rPr>
        <w:t>reconfigurationWithSync</w:t>
      </w:r>
      <w:r>
        <w:rPr>
          <w:rFonts w:eastAsia="DengXian"/>
          <w:lang w:eastAsia="zh-CN"/>
        </w:rPr>
        <w:t>, which would then lead to RLF detection by the UE and subsequently the UE may either successfully re-establish its RRC connection (if radio conditions improve) or the UE may fail to re-establish its RRC connection and it transitions to RRC_IDLE (if radio conditions stay poor). The procedure is to perform cell selection and then re-establishment, however re-establishment may not occur on the source cell. Re-establishment also means DRB suspension until the first RRC reconfiguration after connection re-establishment, this may lead to longer interruption and possibly data loss.</w:t>
      </w:r>
    </w:p>
    <w:p w14:paraId="4FCD83C3" w14:textId="20752AF8" w:rsidR="00286EBA" w:rsidRDefault="008A0C8E">
      <w:pPr>
        <w:rPr>
          <w:rFonts w:eastAsia="DengXian"/>
          <w:lang w:eastAsia="zh-CN"/>
        </w:rPr>
      </w:pPr>
      <w:r>
        <w:rPr>
          <w:rFonts w:eastAsia="DengXian"/>
          <w:lang w:eastAsia="zh-CN"/>
        </w:rPr>
        <w:t xml:space="preserve">The CHO and LTM procedures address or reduce the risk of this vulnerability point by sending the RRC configuration of target base-station(s) ahead of time, and, in the case of CHO, letting the UE initiate the handover when execution conditions based on measurement results are satisfied, and in the case of LTM, by the source cell sending a short cell switch command, which the source cell can send immediately upon receiving a measurement report from the UE, without any additional interaction with the target cell as the handover is already prepared. The advantage with both these procedures is that UEs now have the necessary configuration information regarding the target base-station ahead of time. The drawback with both these procedures is that it also incurs additional network implementation complexity and resource overhead as multiple cells need to reserve resources for the same UE </w:t>
      </w:r>
      <w:r w:rsidR="0050061B">
        <w:rPr>
          <w:rFonts w:eastAsia="DengXian"/>
          <w:lang w:eastAsia="zh-CN"/>
        </w:rPr>
        <w:t>to</w:t>
      </w:r>
      <w:r>
        <w:rPr>
          <w:rFonts w:eastAsia="DengXian"/>
          <w:lang w:eastAsia="zh-CN"/>
        </w:rPr>
        <w:t xml:space="preserve"> be ready to serve this UE when it arrives. Another aspect connected to the issue of resource reservation is that of additional signalling between the source and target base-stations </w:t>
      </w:r>
      <w:r w:rsidR="0050061B">
        <w:rPr>
          <w:rFonts w:eastAsia="DengXian"/>
          <w:lang w:eastAsia="zh-CN"/>
        </w:rPr>
        <w:t>to</w:t>
      </w:r>
      <w:r>
        <w:rPr>
          <w:rFonts w:eastAsia="DengXian"/>
          <w:lang w:eastAsia="zh-CN"/>
        </w:rPr>
        <w:t xml:space="preserve"> provide, update and remove candidate configurations, some of which may not be ever used by the UE.</w:t>
      </w:r>
    </w:p>
    <w:p w14:paraId="1A44AEED" w14:textId="4202E2A4" w:rsidR="00286EBA" w:rsidRDefault="008A0C8E">
      <w:pPr>
        <w:rPr>
          <w:rFonts w:eastAsia="DengXian"/>
          <w:lang w:eastAsia="zh-CN"/>
        </w:rPr>
      </w:pPr>
      <w:r>
        <w:rPr>
          <w:rFonts w:eastAsia="DengXian"/>
          <w:lang w:eastAsia="zh-CN"/>
        </w:rPr>
        <w:t xml:space="preserve">6GR should carefully study the advantages and drawbacks of every solution </w:t>
      </w:r>
      <w:r w:rsidR="0058395B">
        <w:rPr>
          <w:rFonts w:eastAsia="DengXian"/>
          <w:lang w:eastAsia="zh-CN"/>
        </w:rPr>
        <w:t>to</w:t>
      </w:r>
      <w:r>
        <w:rPr>
          <w:rFonts w:eastAsia="DengXian"/>
          <w:lang w:eastAsia="zh-CN"/>
        </w:rPr>
        <w:t xml:space="preserve"> properly set the design targets for 6GR mobility procedures.</w:t>
      </w:r>
    </w:p>
    <w:p w14:paraId="57F780D4" w14:textId="5945B82C" w:rsidR="00286EBA" w:rsidRPr="0050061B" w:rsidRDefault="008A0C8E" w:rsidP="0050061B">
      <w:pPr>
        <w:pStyle w:val="Proposal-HW"/>
      </w:pPr>
      <w:r w:rsidRPr="0050061B">
        <w:lastRenderedPageBreak/>
        <w:t>Proposal 2:</w:t>
      </w:r>
      <w:r w:rsidRPr="0050061B">
        <w:tab/>
      </w:r>
      <w:r w:rsidR="0050061B">
        <w:t xml:space="preserve">The </w:t>
      </w:r>
      <w:r w:rsidRPr="0050061B">
        <w:t xml:space="preserve">6GR handover procedure should be </w:t>
      </w:r>
      <w:r w:rsidR="004A2B64">
        <w:t xml:space="preserve">designed </w:t>
      </w:r>
      <w:r w:rsidRPr="0050061B">
        <w:t>based on the following targets:</w:t>
      </w:r>
    </w:p>
    <w:p w14:paraId="4D1630D6" w14:textId="671A8014" w:rsidR="00286EBA" w:rsidRDefault="008A0C8E">
      <w:pPr>
        <w:pStyle w:val="Sub-bulletofproposal"/>
        <w:rPr>
          <w:b w:val="0"/>
        </w:rPr>
      </w:pPr>
      <w:r>
        <w:t>Simplification and unification;</w:t>
      </w:r>
    </w:p>
    <w:p w14:paraId="675C6A31" w14:textId="5047F430" w:rsidR="00286EBA" w:rsidRPr="0050061B" w:rsidRDefault="008A0C8E" w:rsidP="0050061B">
      <w:pPr>
        <w:pStyle w:val="Sub-bulletofproposal"/>
        <w:rPr>
          <w:b w:val="0"/>
        </w:rPr>
      </w:pPr>
      <w:r>
        <w:t>Minimization latency/interruption time/data loss;</w:t>
      </w:r>
    </w:p>
    <w:p w14:paraId="5F62BB95" w14:textId="4ABE4A1E" w:rsidR="00286EBA" w:rsidRDefault="008A0C8E">
      <w:pPr>
        <w:pStyle w:val="Sub-bulletofproposal"/>
        <w:rPr>
          <w:b w:val="0"/>
        </w:rPr>
      </w:pPr>
      <w:r>
        <w:t>Enhancement of robustness.</w:t>
      </w:r>
    </w:p>
    <w:p w14:paraId="7D77850C" w14:textId="7454945C" w:rsidR="00286EBA" w:rsidRDefault="008A0C8E">
      <w:pPr>
        <w:pStyle w:val="Heading3"/>
        <w:rPr>
          <w:rFonts w:eastAsia="SimSun"/>
        </w:rPr>
      </w:pPr>
      <w:r>
        <w:rPr>
          <w:rFonts w:eastAsia="SimSun"/>
        </w:rPr>
        <w:t>2.1.3</w:t>
      </w:r>
      <w:r>
        <w:rPr>
          <w:rFonts w:eastAsia="SimSun"/>
        </w:rPr>
        <w:tab/>
        <w:t>6GR mobility design principles</w:t>
      </w:r>
    </w:p>
    <w:p w14:paraId="6D38134B" w14:textId="500EFF68" w:rsidR="00286EBA" w:rsidRDefault="008A0C8E">
      <w:pPr>
        <w:rPr>
          <w:rFonts w:eastAsia="DengXian"/>
          <w:lang w:eastAsia="zh-CN"/>
        </w:rPr>
      </w:pPr>
      <w:r>
        <w:rPr>
          <w:rFonts w:eastAsia="DengXian"/>
          <w:lang w:eastAsia="zh-CN"/>
        </w:rPr>
        <w:t>Based on the design targets we outlined in the previous section, we can set basic principles for the 6GR mobility procedure. We assume that 6GR UEs will have an RRC state machine with an RRC_IDLE state and an RRC_CONNECTED state, we provide more details regarding aspects of UE management and RRC states in our companion contribution [4]. Based on this RRC state machine, 6GR should support at least two mobility functions: one mobility function for RRC_IDLE and one mobility function for RRC_CONNECTED. For RRC_IDLE, the mobility function should be a UE-controlled mobility function where the UE may autonomously perform functions like Cell Selection and Cell Reselection so that the UE can camp on the cell (</w:t>
      </w:r>
      <w:r w:rsidR="0058395B">
        <w:rPr>
          <w:rFonts w:eastAsia="DengXian"/>
          <w:lang w:eastAsia="zh-CN"/>
        </w:rPr>
        <w:t>i.e.,</w:t>
      </w:r>
      <w:r>
        <w:rPr>
          <w:rFonts w:eastAsia="DengXian"/>
          <w:lang w:eastAsia="zh-CN"/>
        </w:rPr>
        <w:t xml:space="preserve"> monitor System Information and paging from the cell). For RRC_CONNECTED, the mobility function should be a network-controlled mobility function where the network sends explicit commands to the UE regarding when and how to execute the mobility procedure (</w:t>
      </w:r>
      <w:r w:rsidR="0058395B">
        <w:rPr>
          <w:rFonts w:eastAsia="DengXian"/>
          <w:lang w:eastAsia="zh-CN"/>
        </w:rPr>
        <w:t>i.e.,</w:t>
      </w:r>
      <w:r>
        <w:rPr>
          <w:rFonts w:eastAsia="DengXian"/>
          <w:lang w:eastAsia="zh-CN"/>
        </w:rPr>
        <w:t xml:space="preserve"> the handover procedure). For the remainder of this section, we focus on the design principles for the 6GR mobility procedure in RRC_CONNECTED state.</w:t>
      </w:r>
    </w:p>
    <w:p w14:paraId="1B4920DB" w14:textId="77777777" w:rsidR="00286EBA" w:rsidRDefault="008A0C8E">
      <w:pPr>
        <w:rPr>
          <w:rFonts w:eastAsia="DengXian"/>
          <w:lang w:eastAsia="zh-CN"/>
        </w:rPr>
      </w:pPr>
      <w:r>
        <w:rPr>
          <w:rFonts w:eastAsia="DengXian"/>
          <w:lang w:eastAsia="zh-CN"/>
        </w:rPr>
        <w:t>When UEs are in RRC_CONNECTED state, UEs have an active RRC connection and may be continuously exchanging data with the network, which requires tight control of the UEs. If a UE would switch from one cell to another without being instructed to do so, the source cell would continue reserving resources for and transmitting to the UE until it is notified of the mobility by the target cell, thus wasting network capacity. Therefore, one of the basic principles we should follow for the 6GR mobility procedure in RRC_CONNECTED is that the network triggers the handover procedure, and 6GR should study what trigger(s) would be appropriate for the mobility procedure.</w:t>
      </w:r>
    </w:p>
    <w:p w14:paraId="5F7E27BB" w14:textId="167D0284" w:rsidR="00286EBA" w:rsidRDefault="008A0C8E">
      <w:pPr>
        <w:rPr>
          <w:rFonts w:eastAsia="DengXian"/>
          <w:lang w:eastAsia="zh-CN"/>
        </w:rPr>
      </w:pPr>
      <w:r>
        <w:rPr>
          <w:rFonts w:eastAsia="DengXian"/>
          <w:lang w:eastAsia="zh-CN"/>
        </w:rPr>
        <w:t>Because the L3-HO procedure is using RRC messages and RRC reconfiguration messages take up about 10 ms in processing time, it would be beneficial to consider a solution using a MAC CE command (for cell switching) as the triggering mechanism for handover. Typical MAC CE commands can be processed in the order of 3 ms, which is much faster than the processing time related to RRC messages. The main advantage of using a MAC CE command as the triggering mechanism for mobility is that it would help to keep the latency/interruption time small. One potential drawback of using a MAC CE command as the trigger for mobility rather than a RRC message is that MAC CEs are neither ciphered nor integrity-protected like RRC messages are (</w:t>
      </w:r>
      <w:r w:rsidR="0058395B">
        <w:rPr>
          <w:rFonts w:eastAsia="DengXian"/>
          <w:lang w:eastAsia="zh-CN"/>
        </w:rPr>
        <w:t>using</w:t>
      </w:r>
      <w:r>
        <w:rPr>
          <w:rFonts w:eastAsia="DengXian"/>
          <w:lang w:eastAsia="zh-CN"/>
        </w:rPr>
        <w:t xml:space="preserve"> AS security keys). Security aspects in the connection of UEs to the network are essential and should be studied thoroughly, however this is a question that belongs to the realm of SA3 and we should let SA3 study the need for ciphering and integrity-protection of MAC CEs, depending on their contents.</w:t>
      </w:r>
    </w:p>
    <w:p w14:paraId="05C7174A" w14:textId="64848558" w:rsidR="00286EBA" w:rsidRDefault="008A0C8E">
      <w:pPr>
        <w:rPr>
          <w:rFonts w:eastAsiaTheme="minorEastAsia"/>
          <w:lang w:val="en-US"/>
        </w:rPr>
      </w:pPr>
      <w:r>
        <w:rPr>
          <w:rFonts w:eastAsiaTheme="minorEastAsia"/>
          <w:lang w:val="en-US"/>
        </w:rPr>
        <w:t xml:space="preserve">Beam management handles mobility in RRC_CONNECTED such that RRC signaling is not involved. This effectively implemented an intra-cell mobility solution which allowed the UE to switch between different beams that may be used by various TRPs connected to the same base-station (by using MAC CE commands carrying TCI state indications by DCI). This was later extended for multi-TRP transmission, and inter-cell beam management (ICBM) and multi-TRP transmission with multiple PCIs, </w:t>
      </w:r>
      <w:r w:rsidR="0058395B">
        <w:rPr>
          <w:rFonts w:eastAsiaTheme="minorEastAsia"/>
          <w:lang w:val="en-US"/>
        </w:rPr>
        <w:t>i.e.,</w:t>
      </w:r>
      <w:r>
        <w:rPr>
          <w:rFonts w:eastAsiaTheme="minorEastAsia"/>
          <w:lang w:val="en-US"/>
        </w:rPr>
        <w:t xml:space="preserve"> using TRPs from multiple cells. What happened during 5G NR is that evolutions of mobility and beam management started to converge and overlap with each-other in terms of scenarios and functionalities. The timeline of these evolutions is shown in the figure below:</w:t>
      </w:r>
    </w:p>
    <w:p w14:paraId="29B94414" w14:textId="77777777" w:rsidR="00286EBA" w:rsidRDefault="008A0C8E">
      <w:pPr>
        <w:jc w:val="center"/>
        <w:rPr>
          <w:rFonts w:eastAsiaTheme="minorEastAsia"/>
          <w:lang w:val="en-US"/>
        </w:rPr>
      </w:pPr>
      <w:r>
        <w:rPr>
          <w:rFonts w:eastAsiaTheme="minorEastAsia"/>
          <w:noProof/>
          <w:lang w:val="en-US"/>
        </w:rPr>
        <w:drawing>
          <wp:inline distT="0" distB="0" distL="0" distR="0" wp14:anchorId="32104CFD" wp14:editId="3666655F">
            <wp:extent cx="6104890" cy="19507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79641" cy="2006719"/>
                    </a:xfrm>
                    <a:prstGeom prst="rect">
                      <a:avLst/>
                    </a:prstGeom>
                    <a:noFill/>
                  </pic:spPr>
                </pic:pic>
              </a:graphicData>
            </a:graphic>
          </wp:inline>
        </w:drawing>
      </w:r>
    </w:p>
    <w:p w14:paraId="43757354" w14:textId="77777777" w:rsidR="00286EBA" w:rsidRDefault="008A0C8E">
      <w:pPr>
        <w:jc w:val="center"/>
        <w:rPr>
          <w:rFonts w:eastAsiaTheme="minorEastAsia"/>
          <w:lang w:val="en-US"/>
        </w:rPr>
      </w:pPr>
      <w:r>
        <w:rPr>
          <w:rFonts w:eastAsiaTheme="minorEastAsia"/>
          <w:lang w:val="en-US"/>
        </w:rPr>
        <w:t>Figure 1: Timeline of 5G mobility features (top) and 5G beam management features (bottom)</w:t>
      </w:r>
    </w:p>
    <w:p w14:paraId="0BD642F9" w14:textId="77777777" w:rsidR="00286EBA" w:rsidRDefault="00286EBA">
      <w:pPr>
        <w:rPr>
          <w:rFonts w:eastAsiaTheme="minorEastAsia"/>
          <w:lang w:val="en-US"/>
        </w:rPr>
      </w:pPr>
    </w:p>
    <w:p w14:paraId="35D3FBB0" w14:textId="5C551BA2" w:rsidR="00286EBA" w:rsidRDefault="008A0C8E">
      <w:pPr>
        <w:rPr>
          <w:rFonts w:eastAsiaTheme="minorEastAsia"/>
          <w:lang w:val="en-US"/>
        </w:rPr>
      </w:pPr>
      <w:r>
        <w:rPr>
          <w:rFonts w:eastAsiaTheme="minorEastAsia"/>
          <w:lang w:val="en-US"/>
        </w:rPr>
        <w:t xml:space="preserve">Figure 1 lists the mobility techniques and </w:t>
      </w:r>
      <w:r w:rsidR="00F90561">
        <w:rPr>
          <w:rFonts w:eastAsiaTheme="minorEastAsia"/>
          <w:lang w:val="en-US"/>
        </w:rPr>
        <w:t xml:space="preserve">the </w:t>
      </w:r>
      <w:r>
        <w:rPr>
          <w:rFonts w:eastAsiaTheme="minorEastAsia"/>
          <w:lang w:val="en-US"/>
        </w:rPr>
        <w:t xml:space="preserve">beam management techniques </w:t>
      </w:r>
      <w:r w:rsidR="00F90561">
        <w:rPr>
          <w:rFonts w:eastAsiaTheme="minorEastAsia"/>
          <w:lang w:val="en-US"/>
        </w:rPr>
        <w:t xml:space="preserve">developed </w:t>
      </w:r>
      <w:r>
        <w:rPr>
          <w:rFonts w:eastAsiaTheme="minorEastAsia"/>
          <w:lang w:val="en-US"/>
        </w:rPr>
        <w:t>throughout 5G and 5G-A. As</w:t>
      </w:r>
      <w:r w:rsidR="00F90561">
        <w:rPr>
          <w:rFonts w:eastAsiaTheme="minorEastAsia"/>
          <w:lang w:val="en-US"/>
        </w:rPr>
        <w:t xml:space="preserve"> </w:t>
      </w:r>
      <w:r>
        <w:rPr>
          <w:rFonts w:eastAsiaTheme="minorEastAsia"/>
          <w:lang w:val="en-US"/>
        </w:rPr>
        <w:t>mentioned before, in the early stages of 5G NR</w:t>
      </w:r>
      <w:r w:rsidR="00F90561">
        <w:rPr>
          <w:rFonts w:eastAsiaTheme="minorEastAsia"/>
          <w:lang w:val="en-US"/>
        </w:rPr>
        <w:t>,</w:t>
      </w:r>
      <w:r>
        <w:rPr>
          <w:rFonts w:eastAsiaTheme="minorEastAsia"/>
          <w:lang w:val="en-US"/>
        </w:rPr>
        <w:t xml:space="preserve"> mobility and beam management procedures were tackling different problems and use-cases, mobility procedures were tackling inter-cell scenarios and use-cases while beam management procedures were tackling intra-cell scenarios and use-cases. Mobility procedures require explicit RRC signaling in order to be triggered whereas beam management procedures do not require explicit RRC signaling in order to be triggered.</w:t>
      </w:r>
    </w:p>
    <w:p w14:paraId="206B4F61" w14:textId="77777777" w:rsidR="00286EBA" w:rsidRDefault="008A0C8E">
      <w:pPr>
        <w:rPr>
          <w:rFonts w:eastAsiaTheme="minorEastAsia"/>
        </w:rPr>
      </w:pPr>
      <w:r>
        <w:rPr>
          <w:rFonts w:eastAsia="DengXian"/>
          <w:lang w:eastAsia="zh-CN"/>
        </w:rPr>
        <w:t xml:space="preserve">Starting from Rel-17, beam management procedures started to support inter-cell scenarios. As UEs may move within a cell or even between cells, beam management procedures may be used to switch between transmission points without relocating the termination of protocol layers, even between cells. </w:t>
      </w:r>
      <w:r>
        <w:rPr>
          <w:rFonts w:eastAsia="DengXian" w:hint="eastAsia"/>
          <w:lang w:val="en-US"/>
        </w:rPr>
        <w:t>I</w:t>
      </w:r>
      <w:r>
        <w:rPr>
          <w:rFonts w:eastAsia="DengXian"/>
          <w:lang w:val="en-US"/>
        </w:rPr>
        <w:t>n NR, beam management is also considered during handover, and considered for inter-cell handover.</w:t>
      </w:r>
      <w:r>
        <w:rPr>
          <w:rFonts w:eastAsia="DengXian"/>
          <w:lang w:eastAsia="zh-CN"/>
        </w:rPr>
        <w:t xml:space="preserve"> Beam management may overlap with the function of mobility. This overlap is discussed in further detail in Section 2.2 of this contribution. </w:t>
      </w:r>
      <w:bookmarkStart w:id="5" w:name="_Hlk209446583"/>
      <w:r>
        <w:rPr>
          <w:rFonts w:eastAsia="DengXian"/>
          <w:lang w:eastAsia="zh-CN"/>
        </w:rPr>
        <w:t>6GR should study the possibility to reduce complexity by taking advantage of maximizing the commonalities between handover and beam management procedures.</w:t>
      </w:r>
      <w:bookmarkEnd w:id="5"/>
      <w:r>
        <w:rPr>
          <w:rFonts w:eastAsia="DengXian"/>
          <w:lang w:eastAsia="zh-CN"/>
        </w:rPr>
        <w:t xml:space="preserve"> But, of course, RAN2 needs to wait for more RAN1 progress on beam management.</w:t>
      </w:r>
    </w:p>
    <w:p w14:paraId="4FD0F7CE" w14:textId="1D164442" w:rsidR="00286EBA" w:rsidRDefault="008A0C8E">
      <w:pPr>
        <w:rPr>
          <w:rFonts w:eastAsia="DengXian"/>
          <w:lang w:eastAsia="zh-CN"/>
        </w:rPr>
      </w:pPr>
      <w:r>
        <w:rPr>
          <w:rFonts w:eastAsia="DengXian"/>
          <w:lang w:eastAsia="zh-CN"/>
        </w:rPr>
        <w:t>As mentioned before</w:t>
      </w:r>
      <w:r w:rsidR="00F90561">
        <w:rPr>
          <w:rFonts w:eastAsia="DengXian"/>
          <w:lang w:eastAsia="zh-CN"/>
        </w:rPr>
        <w:t>,</w:t>
      </w:r>
      <w:r>
        <w:rPr>
          <w:rFonts w:eastAsia="DengXian"/>
          <w:lang w:eastAsia="zh-CN"/>
        </w:rPr>
        <w:t xml:space="preserve"> CHO is a solution where UEs receive handover commands ahead of time, while the radio conditions with the source base-station are still good, and evaluate the execution conditions that was provided for each CHO configuration. Assuming that handover control parameters are defined properly, such UE-initiated handovers are beneficial to enhance the user experience by reducing the risk of handover failure. However, such a mechanism tends to increase the system complexity and overhead, while system simplification is one of the design motivations for 6GR as we try to drive down the TCO, so RAN2 should carefully study whether and how to support UE-initiated handover procedures for 6GR. </w:t>
      </w:r>
      <w:r w:rsidR="0050061B">
        <w:rPr>
          <w:rFonts w:eastAsia="DengXian"/>
          <w:lang w:eastAsia="zh-CN"/>
        </w:rPr>
        <w:t>RAN2</w:t>
      </w:r>
      <w:r>
        <w:rPr>
          <w:rFonts w:eastAsia="DengXian"/>
          <w:lang w:eastAsia="zh-CN"/>
        </w:rPr>
        <w:t xml:space="preserve"> should study and evaluate the potential impacts on the network and to what extent the network implementation complexity and overhead would be increased.</w:t>
      </w:r>
    </w:p>
    <w:p w14:paraId="1EBF8330" w14:textId="3660C477" w:rsidR="00286EBA" w:rsidRPr="0050061B" w:rsidRDefault="008A0C8E" w:rsidP="0050061B">
      <w:pPr>
        <w:pStyle w:val="Proposal-HW"/>
      </w:pPr>
      <w:r w:rsidRPr="0050061B">
        <w:t>Proposal 3:</w:t>
      </w:r>
      <w:r w:rsidRPr="0050061B">
        <w:tab/>
        <w:t>RAN2 should study a simplified/unified handover procedure for 6G based on the following principles:</w:t>
      </w:r>
    </w:p>
    <w:p w14:paraId="34188AC0" w14:textId="395DE0AC" w:rsidR="00286EBA" w:rsidRDefault="008A0C8E">
      <w:pPr>
        <w:pStyle w:val="Sub-bulletofproposal"/>
      </w:pPr>
      <w:r>
        <w:t>the 6GR handover procedure can be triggered by network signalling;</w:t>
      </w:r>
    </w:p>
    <w:p w14:paraId="2C8FB813" w14:textId="18469CC1" w:rsidR="00286EBA" w:rsidRDefault="008A0C8E">
      <w:pPr>
        <w:pStyle w:val="Sub-bulletofproposal"/>
      </w:pPr>
      <w:r>
        <w:t>study whether and how to support 6GR handover triggered by the UE (e.g.</w:t>
      </w:r>
      <w:r w:rsidR="0058395B">
        <w:t>,</w:t>
      </w:r>
      <w:r>
        <w:t xml:space="preserve"> conditional handover), after fully evaluating impacts on the network.</w:t>
      </w:r>
    </w:p>
    <w:p w14:paraId="225A7F52" w14:textId="77777777" w:rsidR="00286EBA" w:rsidRDefault="008A0C8E">
      <w:pPr>
        <w:pStyle w:val="Heading2"/>
        <w:rPr>
          <w:rFonts w:eastAsia="SimSun"/>
        </w:rPr>
      </w:pPr>
      <w:r>
        <w:rPr>
          <w:rFonts w:eastAsia="DengXian"/>
          <w:shd w:val="clear" w:color="auto" w:fill="FFFFFF"/>
          <w:lang w:eastAsia="zh-CN"/>
        </w:rPr>
        <w:t>2.2</w:t>
      </w:r>
      <w:r>
        <w:rPr>
          <w:rFonts w:eastAsia="DengXian"/>
          <w:shd w:val="clear" w:color="auto" w:fill="FFFFFF"/>
          <w:lang w:eastAsia="zh-CN"/>
        </w:rPr>
        <w:tab/>
      </w:r>
      <w:bookmarkStart w:id="6" w:name="_Hlk209425651"/>
      <w:r>
        <w:rPr>
          <w:rFonts w:eastAsia="SimSun"/>
        </w:rPr>
        <w:t>Unified measurements for mobility</w:t>
      </w:r>
      <w:bookmarkEnd w:id="6"/>
    </w:p>
    <w:p w14:paraId="04D331CD" w14:textId="77777777" w:rsidR="00286EBA" w:rsidRDefault="008A0C8E">
      <w:pPr>
        <w:rPr>
          <w:rFonts w:eastAsiaTheme="minorEastAsia"/>
          <w:lang w:val="en-US"/>
        </w:rPr>
      </w:pPr>
      <w:r>
        <w:rPr>
          <w:rFonts w:eastAsiaTheme="minorEastAsia"/>
          <w:lang w:val="en-US"/>
        </w:rPr>
        <w:t>For 6GR, we should study how to unify the measurement and reporting configurations of L1 measurements and L3 measurements so that we can harmonize cell-based reporting with beam-based reporting. We can see that from the similarities of cell-based event reporting and beam-based event reporting. Given this trend where mobility and beam management have gradually converged over each release of 5G NR, we should look to streamline as many functions as possible.</w:t>
      </w:r>
    </w:p>
    <w:p w14:paraId="352A441D" w14:textId="2E0D9880" w:rsidR="00286EBA" w:rsidRDefault="008A0C8E">
      <w:pPr>
        <w:rPr>
          <w:rFonts w:eastAsiaTheme="minorEastAsia"/>
          <w:lang w:val="en-US"/>
        </w:rPr>
      </w:pPr>
      <w:r>
        <w:rPr>
          <w:rFonts w:eastAsiaTheme="minorEastAsia"/>
          <w:lang w:val="en-US"/>
        </w:rPr>
        <w:t>In 5G NR Rel-17, ICBM was introduced to enhance the user experience of UEs in cell-edge by allowing a UE to receive/transmit physical layer signals and channels from a neighbor TRP (</w:t>
      </w:r>
      <w:r w:rsidR="0058395B">
        <w:rPr>
          <w:rFonts w:eastAsiaTheme="minorEastAsia"/>
          <w:lang w:val="en-US"/>
        </w:rPr>
        <w:t>i.e.,</w:t>
      </w:r>
      <w:r>
        <w:rPr>
          <w:rFonts w:eastAsiaTheme="minorEastAsia"/>
          <w:lang w:val="en-US"/>
        </w:rPr>
        <w:t xml:space="preserve"> it is associated with a neighbor PCI). In order to support this feature, measurement configuration was enhanced to include support for additional PCIs. UEs would be provided with </w:t>
      </w:r>
      <w:r>
        <w:rPr>
          <w:rFonts w:eastAsiaTheme="minorEastAsia"/>
          <w:i/>
          <w:iCs/>
          <w:lang w:val="en-US"/>
        </w:rPr>
        <w:t>SSB-MTC-AdditionalPCI</w:t>
      </w:r>
      <w:r>
        <w:rPr>
          <w:rFonts w:eastAsiaTheme="minorEastAsia"/>
          <w:lang w:val="en-US"/>
        </w:rPr>
        <w:t xml:space="preserve"> which is used to configure a SMTC window for the UE to measure SS/PBCH blocks with the neighbor PCI. Each </w:t>
      </w:r>
      <w:r>
        <w:rPr>
          <w:rFonts w:eastAsiaTheme="minorEastAsia"/>
          <w:i/>
          <w:iCs/>
          <w:lang w:val="en-US"/>
        </w:rPr>
        <w:t>SSB-MTC-AdditionalPCI</w:t>
      </w:r>
      <w:r>
        <w:rPr>
          <w:rFonts w:eastAsiaTheme="minorEastAsia"/>
          <w:lang w:val="en-US"/>
        </w:rPr>
        <w:t xml:space="preserve"> is provided with its own specific </w:t>
      </w:r>
      <w:r>
        <w:rPr>
          <w:rFonts w:eastAsiaTheme="minorEastAsia"/>
          <w:i/>
          <w:iCs/>
          <w:lang w:val="en-US"/>
        </w:rPr>
        <w:t>additionalPCI</w:t>
      </w:r>
      <w:r>
        <w:rPr>
          <w:rFonts w:eastAsiaTheme="minorEastAsia"/>
          <w:lang w:val="en-US"/>
        </w:rPr>
        <w:t>. This overlaps with the SMTC window configuration that was introduced during NR Rel-15, which is provided in the Measurement Object associated with the serving cell configuration. 6GR should study how to unify such SMTC configuration for beam measurement and mobility.</w:t>
      </w:r>
    </w:p>
    <w:p w14:paraId="3183E0AE" w14:textId="77777777" w:rsidR="00286EBA" w:rsidRDefault="008A0C8E">
      <w:pPr>
        <w:rPr>
          <w:rFonts w:eastAsiaTheme="minorEastAsia"/>
          <w:lang w:val="en-US"/>
        </w:rPr>
      </w:pPr>
      <w:r>
        <w:rPr>
          <w:rFonts w:eastAsiaTheme="minorEastAsia"/>
          <w:lang w:val="en-US"/>
        </w:rPr>
        <w:t>In 5G NR Rel-19, RAN1 introduced the feature of UE-initiated/Event-driven beam Reporting (UEIBR), whose main purpose is to reduce measurement reporting overhead in intra-cell and inter-cell beam management and facilitate fast beam switching. One of the outcomes of UEIBR was that RAN1 introduced beam-based events defined in a very similar manner to cell-based events. UEIBR introduced Event-1 which is defined as “</w:t>
      </w:r>
      <w:r>
        <w:t>Quality of the current beam is worse than a certain threshold.</w:t>
      </w:r>
      <w:r>
        <w:rPr>
          <w:rFonts w:eastAsiaTheme="minorEastAsia"/>
          <w:lang w:val="en-US"/>
        </w:rPr>
        <w:t>”, which mirrors Event-A2 which is defined as “</w:t>
      </w:r>
      <w:r>
        <w:t>Serving becomes worse than absolute threshold</w:t>
      </w:r>
      <w:r>
        <w:rPr>
          <w:rFonts w:eastAsiaTheme="minorEastAsia"/>
          <w:lang w:val="en-US"/>
        </w:rPr>
        <w:t>”. UEIBR introduced Event-2 which is defined as “</w:t>
      </w:r>
      <w:r>
        <w:t>Quality of at least one new beam becomes a threshold value better than the current beam</w:t>
      </w:r>
      <w:r>
        <w:rPr>
          <w:rFonts w:eastAsiaTheme="minorEastAsia"/>
          <w:lang w:val="en-US"/>
        </w:rPr>
        <w:t>”, which mirrors Event-A3 which is defined as “</w:t>
      </w:r>
      <w:r>
        <w:t>Neighbour becomes amount of offset better than PCell/PSCell</w:t>
      </w:r>
      <w:r>
        <w:rPr>
          <w:rFonts w:eastAsiaTheme="minorEastAsia"/>
          <w:lang w:val="en-US"/>
        </w:rPr>
        <w:t>”. 6GR should study how to unify such event definition such that cell-based events and beam-based events.</w:t>
      </w:r>
    </w:p>
    <w:p w14:paraId="2B4F4C61" w14:textId="504CE384" w:rsidR="00286EBA" w:rsidRDefault="0058395B">
      <w:pPr>
        <w:rPr>
          <w:rFonts w:eastAsiaTheme="minorEastAsia"/>
          <w:lang w:val="en-US"/>
        </w:rPr>
      </w:pPr>
      <w:r>
        <w:rPr>
          <w:rFonts w:eastAsiaTheme="minorEastAsia"/>
          <w:lang w:val="en-US"/>
        </w:rPr>
        <w:t>Also,</w:t>
      </w:r>
      <w:r w:rsidR="008A0C8E">
        <w:rPr>
          <w:rFonts w:eastAsiaTheme="minorEastAsia"/>
          <w:lang w:val="en-US"/>
        </w:rPr>
        <w:t xml:space="preserve"> in 5G NR Rel-19, RAN2 introduced further enhancements to LTM, more specifically RAN2 introduced the feature of performing L1 beam-level measurements for the LTM candidates and/or for the serving cell. UEs would be provided with </w:t>
      </w:r>
      <w:r w:rsidR="008A0C8E">
        <w:rPr>
          <w:rFonts w:eastAsiaTheme="minorEastAsia"/>
          <w:i/>
          <w:iCs/>
          <w:lang w:val="en-US"/>
        </w:rPr>
        <w:t>LTM-CSI-ReportConfig</w:t>
      </w:r>
      <w:r w:rsidR="008A0C8E">
        <w:rPr>
          <w:rFonts w:eastAsiaTheme="minorEastAsia"/>
          <w:lang w:val="en-US"/>
        </w:rPr>
        <w:t xml:space="preserve"> with all of the relevant parameters for performing event-triggered L1 measurement and reporting. Examples of beam-level events that are defined include: event LTM2, event LTM3, event </w:t>
      </w:r>
      <w:r w:rsidR="008A0C8E">
        <w:rPr>
          <w:rFonts w:eastAsiaTheme="minorEastAsia"/>
          <w:lang w:val="en-US"/>
        </w:rPr>
        <w:lastRenderedPageBreak/>
        <w:t>LTM4 and event LTM5. Event LTM2 is defined as “beam of serving cell becomes worse than threshold”, which is overlapping with Event-1 from UEIBR. Event LTM3 is defines as “beam of candidate cell becomes offset better than beam of serving cell”, which is overlapping with Event-2 from UEIBR.</w:t>
      </w:r>
    </w:p>
    <w:p w14:paraId="1C31DE90" w14:textId="77777777" w:rsidR="00286EBA" w:rsidRDefault="008A0C8E">
      <w:pPr>
        <w:rPr>
          <w:rFonts w:eastAsiaTheme="minorEastAsia"/>
          <w:lang w:val="en-US"/>
        </w:rPr>
      </w:pPr>
      <w:r>
        <w:rPr>
          <w:rFonts w:eastAsiaTheme="minorEastAsia"/>
          <w:lang w:val="en-US"/>
        </w:rPr>
        <w:t>Looking at the reporting that RAN1 introduced for UEIBR and the reporting that RAN2 introduced for L1 measurements for LTM, we can also see a lot of commonalities in the reporting format:</w:t>
      </w:r>
    </w:p>
    <w:p w14:paraId="4033EC11" w14:textId="77777777" w:rsidR="00286EBA" w:rsidRDefault="008A0C8E">
      <w:pPr>
        <w:jc w:val="center"/>
        <w:rPr>
          <w:rFonts w:eastAsiaTheme="minorEastAsia"/>
          <w:lang w:val="en-US"/>
        </w:rPr>
      </w:pPr>
      <w:r>
        <w:rPr>
          <w:noProof/>
        </w:rPr>
        <w:drawing>
          <wp:inline distT="0" distB="0" distL="0" distR="0" wp14:anchorId="114BB0BA" wp14:editId="1FC7806D">
            <wp:extent cx="2489835" cy="147510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95947" cy="1479032"/>
                    </a:xfrm>
                    <a:prstGeom prst="rect">
                      <a:avLst/>
                    </a:prstGeom>
                    <a:noFill/>
                    <a:ln>
                      <a:noFill/>
                    </a:ln>
                  </pic:spPr>
                </pic:pic>
              </a:graphicData>
            </a:graphic>
          </wp:inline>
        </w:drawing>
      </w:r>
      <w:r>
        <w:t xml:space="preserve">                     </w:t>
      </w:r>
      <w:r>
        <w:object w:dxaOrig="3249" w:dyaOrig="3170" w14:anchorId="152E1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25pt;height:158.5pt" o:ole="">
            <v:imagedata r:id="rId11" o:title=""/>
          </v:shape>
          <o:OLEObject Type="Embed" ProgID="Visio.Drawing.15" ShapeID="_x0000_i1025" DrawAspect="Content" ObjectID="_1820985327" r:id="rId12"/>
        </w:object>
      </w:r>
    </w:p>
    <w:p w14:paraId="10371B1E" w14:textId="77777777" w:rsidR="00286EBA" w:rsidRDefault="008A0C8E">
      <w:pPr>
        <w:jc w:val="center"/>
        <w:rPr>
          <w:rFonts w:eastAsiaTheme="minorEastAsia"/>
          <w:lang w:val="en-US"/>
        </w:rPr>
      </w:pPr>
      <w:r>
        <w:rPr>
          <w:rFonts w:eastAsiaTheme="minorEastAsia"/>
          <w:lang w:val="en-US"/>
        </w:rPr>
        <w:t>Figure 2: L1 measurement reporting for UEIBR (left) and LTM (right)</w:t>
      </w:r>
    </w:p>
    <w:p w14:paraId="2D180160" w14:textId="77777777" w:rsidR="00286EBA" w:rsidRDefault="00286EBA">
      <w:pPr>
        <w:rPr>
          <w:rFonts w:eastAsiaTheme="minorEastAsia"/>
          <w:lang w:val="en-US"/>
        </w:rPr>
      </w:pPr>
    </w:p>
    <w:p w14:paraId="0CF9918D" w14:textId="7C598479" w:rsidR="00286EBA" w:rsidRDefault="008A0C8E">
      <w:pPr>
        <w:rPr>
          <w:rFonts w:eastAsiaTheme="minorEastAsia"/>
          <w:lang w:val="en-US"/>
        </w:rPr>
      </w:pPr>
      <w:r>
        <w:rPr>
          <w:rFonts w:eastAsiaTheme="minorEastAsia"/>
          <w:lang w:val="en-US"/>
        </w:rPr>
        <w:t>First</w:t>
      </w:r>
      <w:r w:rsidR="0058395B">
        <w:rPr>
          <w:rFonts w:eastAsiaTheme="minorEastAsia"/>
          <w:lang w:val="en-US"/>
        </w:rPr>
        <w:t>,</w:t>
      </w:r>
      <w:r>
        <w:rPr>
          <w:rFonts w:eastAsiaTheme="minorEastAsia"/>
          <w:lang w:val="en-US"/>
        </w:rPr>
        <w:t xml:space="preserve"> we can see that both UEIBR and LTM reports based on L1 measurements using RSRP measurements. Secondly both UEIBR and LTM reports include resource indicators: UEIBR reports include either the CSI-RS resource indicator (CRI) or the SS/PBCH block resource indicator (SSBRI), LTM reports include a reference signaling resource index (RSRI) field which can be either a SSBRI or a CRI. Thirdly the UEIBR report includes the L1-RSRP measurement for the first beam (which is denoted as L1-RSRP #1) and differential L1-RSRP measurements for the remaining beams (which are denoted as differential L1-RSRP #i), the LTM report also includes the L1-RSRP measurement for the first beam (which is denoted as RSRP</w:t>
      </w:r>
      <w:r>
        <w:rPr>
          <w:rFonts w:eastAsiaTheme="minorEastAsia"/>
          <w:vertAlign w:val="subscript"/>
          <w:lang w:val="en-US"/>
        </w:rPr>
        <w:t>1</w:t>
      </w:r>
      <w:r>
        <w:rPr>
          <w:rFonts w:eastAsiaTheme="minorEastAsia"/>
          <w:lang w:val="en-US"/>
        </w:rPr>
        <w:t>) and differential L1-RSRP measurements for the remaining beams (which are denoted as DIFFRSRP</w:t>
      </w:r>
      <w:r>
        <w:rPr>
          <w:rFonts w:eastAsiaTheme="minorEastAsia"/>
          <w:vertAlign w:val="subscript"/>
          <w:lang w:val="en-US"/>
        </w:rPr>
        <w:t>i</w:t>
      </w:r>
      <w:r>
        <w:rPr>
          <w:rFonts w:eastAsiaTheme="minorEastAsia"/>
          <w:lang w:val="en-US"/>
        </w:rPr>
        <w:t>).</w:t>
      </w:r>
    </w:p>
    <w:p w14:paraId="5D51813F" w14:textId="77777777" w:rsidR="00286EBA" w:rsidRDefault="008A0C8E">
      <w:pPr>
        <w:rPr>
          <w:rFonts w:eastAsiaTheme="minorEastAsia"/>
          <w:lang w:val="en-US"/>
        </w:rPr>
      </w:pPr>
      <w:r>
        <w:rPr>
          <w:rFonts w:eastAsiaTheme="minorEastAsia"/>
          <w:lang w:val="en-US"/>
        </w:rPr>
        <w:t>As can be seen from the above example, beam-based events and L1 measurement reports were specified by both RAN1 and RAN2 in a very similar manner and share many commonalities. Although mobility and beam management have evolved separately from each other, it is clear that both functions have been gradually converging if not overlapping, especially with regarding to measurement, configuration and reporting. 6GR should study how to unify beam-based event measurement, triggering and reporting in order to avoid feature duplication across multiple RAN WGs as this would result in complicated specification efforts.</w:t>
      </w:r>
    </w:p>
    <w:p w14:paraId="1AD8427A" w14:textId="06E613A2" w:rsidR="00286EBA" w:rsidRPr="0050061B" w:rsidRDefault="008A0C8E" w:rsidP="0050061B">
      <w:pPr>
        <w:pStyle w:val="Proposal-HW"/>
      </w:pPr>
      <w:bookmarkStart w:id="7" w:name="_Hlk209446886"/>
      <w:r w:rsidRPr="0050061B">
        <w:t>Proposal 4:</w:t>
      </w:r>
      <w:r w:rsidRPr="0050061B">
        <w:tab/>
      </w:r>
      <w:r w:rsidR="000B1C84">
        <w:t xml:space="preserve">For </w:t>
      </w:r>
      <w:r w:rsidRPr="0050061B">
        <w:t>6GR</w:t>
      </w:r>
      <w:r w:rsidR="000B1C84">
        <w:t>, RAN2</w:t>
      </w:r>
      <w:r w:rsidRPr="0050061B">
        <w:t xml:space="preserve"> should study a unified/common solution for measurement, configuration and reporting suitable for L1 measurements and L3 measurements for mobility.</w:t>
      </w:r>
    </w:p>
    <w:bookmarkEnd w:id="7"/>
    <w:p w14:paraId="0CD7BAE2" w14:textId="2227EAE6" w:rsidR="00286EBA" w:rsidRDefault="008A0C8E">
      <w:pPr>
        <w:pStyle w:val="Heading2"/>
        <w:rPr>
          <w:rFonts w:eastAsia="SimSun"/>
        </w:rPr>
      </w:pPr>
      <w:r>
        <w:rPr>
          <w:rFonts w:eastAsia="DengXian"/>
          <w:shd w:val="clear" w:color="auto" w:fill="FFFFFF"/>
          <w:lang w:eastAsia="zh-CN"/>
        </w:rPr>
        <w:t>2.3</w:t>
      </w:r>
      <w:r>
        <w:rPr>
          <w:rFonts w:eastAsia="DengXian"/>
          <w:shd w:val="clear" w:color="auto" w:fill="FFFFFF"/>
          <w:lang w:eastAsia="zh-CN"/>
        </w:rPr>
        <w:tab/>
        <w:t>Short latency</w:t>
      </w:r>
      <w:r>
        <w:rPr>
          <w:rFonts w:eastAsia="SimSun"/>
        </w:rPr>
        <w:t xml:space="preserve"> mobility: CFRA</w:t>
      </w:r>
    </w:p>
    <w:p w14:paraId="40966354" w14:textId="487E81FE" w:rsidR="00D23C94" w:rsidRDefault="008A0C8E">
      <w:pPr>
        <w:rPr>
          <w:rFonts w:eastAsia="DengXian"/>
          <w:lang w:eastAsia="zh-CN"/>
        </w:rPr>
      </w:pPr>
      <w:r>
        <w:rPr>
          <w:rFonts w:eastAsia="DengXian"/>
          <w:lang w:eastAsia="zh-CN"/>
        </w:rPr>
        <w:t xml:space="preserve">Minimization of latency/interruption is one of the most important targets for 6GR mobility as it supports our design motivation of system simplification. In 5G NR, we operate with small pools of sequences/resources to share among many UEs. While some resources such as spectrum is inherently scarce and requires very careful usage in order to maximize spectral efficiency and the quality of the user’s experience, other resources PRACH sequences </w:t>
      </w:r>
      <w:r w:rsidR="00971CCC">
        <w:rPr>
          <w:rFonts w:eastAsia="DengXian"/>
          <w:lang w:eastAsia="zh-CN"/>
        </w:rPr>
        <w:t>do not</w:t>
      </w:r>
      <w:r>
        <w:rPr>
          <w:rFonts w:eastAsia="DengXian"/>
          <w:lang w:eastAsia="zh-CN"/>
        </w:rPr>
        <w:t xml:space="preserve"> need to be so constraining. As per [1], 6GR targets supporting various device types in a forward compatible manner, which means that the number of UEs to support will be higher than in 5G NR. If 6GR targets supporting increasing numbers of devices without increasing the pool of resources/sequences to serve those devices, then 6GR will result in a complicated and inefficient system. By having UE-dedicated resources to serve UEs, we can help to alleviate the complexity that is inherent in procedures related to shared resource management. Using UE-dedicated resources will also be instrumental to simplify UE management by reducing signalling overhead, access latency and power consumption that comes from executing state transition at the UE side (</w:t>
      </w:r>
      <w:r w:rsidR="00971CCC">
        <w:rPr>
          <w:rFonts w:eastAsia="DengXian"/>
          <w:lang w:eastAsia="zh-CN"/>
        </w:rPr>
        <w:t>e.g.,</w:t>
      </w:r>
      <w:r>
        <w:rPr>
          <w:rFonts w:eastAsia="DengXian"/>
          <w:lang w:eastAsia="zh-CN"/>
        </w:rPr>
        <w:t xml:space="preserve"> from RRC_IDLE to RRC_CONNECTED).</w:t>
      </w:r>
    </w:p>
    <w:p w14:paraId="055AAA07" w14:textId="22CFEC15" w:rsidR="00286EBA" w:rsidRDefault="008A0C8E" w:rsidP="00D23C94">
      <w:pPr>
        <w:keepNext/>
        <w:keepLines/>
        <w:rPr>
          <w:rFonts w:eastAsia="DengXian"/>
          <w:lang w:eastAsia="zh-CN"/>
        </w:rPr>
      </w:pPr>
      <w:r>
        <w:rPr>
          <w:rFonts w:eastAsia="DengXian"/>
          <w:lang w:eastAsia="zh-CN"/>
        </w:rPr>
        <w:lastRenderedPageBreak/>
        <w:t>We provide further details on UE management in [4]. For reference, we will use the L3-HO flow-chart to guide our discussion:</w:t>
      </w:r>
    </w:p>
    <w:p w14:paraId="7160A0F4" w14:textId="77777777" w:rsidR="00286EBA" w:rsidRDefault="008A0C8E" w:rsidP="00D23C94">
      <w:pPr>
        <w:keepNext/>
        <w:keepLines/>
        <w:jc w:val="center"/>
        <w:rPr>
          <w:rFonts w:eastAsia="DengXian"/>
          <w:lang w:eastAsia="zh-CN"/>
        </w:rPr>
      </w:pPr>
      <w:r>
        <w:object w:dxaOrig="7039" w:dyaOrig="7084" w14:anchorId="4ABD5F58">
          <v:shape id="_x0000_i1026" type="#_x0000_t75" style="width:351.95pt;height:354.1pt" o:ole="">
            <v:imagedata r:id="rId13" o:title=""/>
          </v:shape>
          <o:OLEObject Type="Embed" ProgID="Mscgen.Chart" ShapeID="_x0000_i1026" DrawAspect="Content" ObjectID="_1820985328" r:id="rId14"/>
        </w:object>
      </w:r>
    </w:p>
    <w:p w14:paraId="2F0BFB68" w14:textId="77777777" w:rsidR="00286EBA" w:rsidRDefault="008A0C8E" w:rsidP="00D23C94">
      <w:pPr>
        <w:keepNext/>
        <w:keepLines/>
        <w:jc w:val="center"/>
        <w:rPr>
          <w:rFonts w:eastAsia="DengXian"/>
          <w:lang w:eastAsia="zh-CN"/>
        </w:rPr>
      </w:pPr>
      <w:r>
        <w:rPr>
          <w:rFonts w:eastAsia="DengXian"/>
          <w:lang w:eastAsia="zh-CN"/>
        </w:rPr>
        <w:t>Figure 3: Intra-RAT L3-HO flow-chart [5]</w:t>
      </w:r>
    </w:p>
    <w:p w14:paraId="3B1D0643" w14:textId="245BBD8C" w:rsidR="00286EBA" w:rsidRDefault="008A0C8E">
      <w:pPr>
        <w:rPr>
          <w:rFonts w:eastAsia="DengXian"/>
          <w:lang w:eastAsia="zh-CN"/>
        </w:rPr>
      </w:pPr>
      <w:r>
        <w:rPr>
          <w:rFonts w:eastAsia="DengXian"/>
          <w:lang w:eastAsia="zh-CN"/>
        </w:rPr>
        <w:t xml:space="preserve">During the preparation phase of a mobility procedure, the source base-station would reach some decision (based on reporting received from the UE) that a handover needs to be performed, this is depicted as step 2. This is typically followed by signalling between the source base-station towards the target base-station(s) where the target base-station(s) </w:t>
      </w:r>
      <w:r w:rsidR="0050061B">
        <w:rPr>
          <w:rFonts w:eastAsia="DengXian"/>
          <w:lang w:eastAsia="zh-CN"/>
        </w:rPr>
        <w:t>must</w:t>
      </w:r>
      <w:r>
        <w:rPr>
          <w:rFonts w:eastAsia="DengXian"/>
          <w:lang w:eastAsia="zh-CN"/>
        </w:rPr>
        <w:t xml:space="preserve"> perform Admission Control </w:t>
      </w:r>
      <w:r w:rsidR="0050061B">
        <w:rPr>
          <w:rFonts w:eastAsia="DengXian"/>
          <w:lang w:eastAsia="zh-CN"/>
        </w:rPr>
        <w:t>to</w:t>
      </w:r>
      <w:r>
        <w:rPr>
          <w:rFonts w:eastAsia="DengXian"/>
          <w:lang w:eastAsia="zh-CN"/>
        </w:rPr>
        <w:t xml:space="preserve"> determine whether this UE can be served by the target base-station(s), this is depicted as step 4. One of the purposes of the Admission Control procedure is to perform the resource reservation and allocation necessary to accommodate the incoming UE, this includes information such as the target cell identity, system information of the target cell, a new C-RNTI, a set of dedicated RACH resources, a set of UE-specific CSI-RS resources, etc. </w:t>
      </w:r>
      <w:r w:rsidR="0050061B">
        <w:rPr>
          <w:rFonts w:eastAsia="DengXian"/>
          <w:lang w:eastAsia="zh-CN"/>
        </w:rPr>
        <w:t>If</w:t>
      </w:r>
      <w:r>
        <w:rPr>
          <w:rFonts w:eastAsia="DengXian"/>
          <w:lang w:eastAsia="zh-CN"/>
        </w:rPr>
        <w:t xml:space="preserve"> the target base-station successfully reserves/allocates new resources for the incoming UE, the target base-station will prepare the handover and send a handover request acknowledgment message to the source base-station which carries the signalling related to the reserved/allocated new resources, this is depicted as step 5.</w:t>
      </w:r>
    </w:p>
    <w:p w14:paraId="6386067D" w14:textId="3C124A6F" w:rsidR="00286EBA" w:rsidRDefault="008A0C8E">
      <w:pPr>
        <w:rPr>
          <w:rFonts w:eastAsia="DengXian"/>
          <w:lang w:eastAsia="zh-CN"/>
        </w:rPr>
      </w:pPr>
      <w:r>
        <w:rPr>
          <w:rFonts w:eastAsia="DengXian"/>
          <w:lang w:eastAsia="zh-CN"/>
        </w:rPr>
        <w:t xml:space="preserve">We should make use of UE-dedicated resources during mobility procedures so that these resources can be used by the NW </w:t>
      </w:r>
      <w:r w:rsidR="00DF1A4E">
        <w:rPr>
          <w:rFonts w:eastAsia="DengXian"/>
          <w:lang w:eastAsia="zh-CN"/>
        </w:rPr>
        <w:t>to</w:t>
      </w:r>
      <w:r>
        <w:rPr>
          <w:rFonts w:eastAsia="DengXian"/>
          <w:lang w:eastAsia="zh-CN"/>
        </w:rPr>
        <w:t xml:space="preserve"> serve the same UE across multiple candidate cells and for an extended </w:t>
      </w:r>
      <w:r w:rsidR="00DF1A4E">
        <w:rPr>
          <w:rFonts w:eastAsia="DengXian"/>
          <w:lang w:eastAsia="zh-CN"/>
        </w:rPr>
        <w:t>period</w:t>
      </w:r>
      <w:r>
        <w:rPr>
          <w:rFonts w:eastAsia="DengXian"/>
          <w:lang w:eastAsia="zh-CN"/>
        </w:rPr>
        <w:t xml:space="preserve">. Such UE-dedicated resources should be reserved ahead of time so that when mobility procedures are triggered by mobility events: multiple base-stations would be ready to serve this UE in seamless manner from the UE’s perspective. </w:t>
      </w:r>
    </w:p>
    <w:p w14:paraId="27B3D48F" w14:textId="2E2A4998" w:rsidR="00286EBA" w:rsidRDefault="00D23C94">
      <w:pPr>
        <w:rPr>
          <w:rFonts w:eastAsia="DengXian"/>
          <w:lang w:eastAsia="zh-CN"/>
        </w:rPr>
      </w:pPr>
      <w:r>
        <w:rPr>
          <w:rFonts w:eastAsia="DengXian"/>
          <w:lang w:eastAsia="zh-CN"/>
        </w:rPr>
        <w:t>While</w:t>
      </w:r>
      <w:r w:rsidR="008A0C8E">
        <w:rPr>
          <w:rFonts w:eastAsia="DengXian"/>
          <w:lang w:eastAsia="zh-CN"/>
        </w:rPr>
        <w:t xml:space="preserve"> RACH-less handover may </w:t>
      </w:r>
      <w:r>
        <w:rPr>
          <w:rFonts w:eastAsia="DengXian"/>
          <w:lang w:eastAsia="zh-CN"/>
        </w:rPr>
        <w:t xml:space="preserve">improve then handover latency, early UL sync requires additional resources and may </w:t>
      </w:r>
      <w:r w:rsidR="008A0C8E">
        <w:rPr>
          <w:rFonts w:eastAsia="DengXian"/>
          <w:lang w:eastAsia="zh-CN"/>
        </w:rPr>
        <w:t>not be always possible</w:t>
      </w:r>
      <w:r>
        <w:rPr>
          <w:rFonts w:eastAsia="DengXian"/>
          <w:lang w:eastAsia="zh-CN"/>
        </w:rPr>
        <w:t>.</w:t>
      </w:r>
    </w:p>
    <w:p w14:paraId="38EE420C" w14:textId="77777777" w:rsidR="00286EBA" w:rsidRDefault="008A0C8E">
      <w:pPr>
        <w:pStyle w:val="Observation-HW"/>
        <w:rPr>
          <w:lang w:eastAsia="zh-CN"/>
        </w:rPr>
      </w:pPr>
      <w:r>
        <w:t>Observation 4:</w:t>
      </w:r>
      <w:r>
        <w:tab/>
        <w:t>A mobility framework based on UE-dedicated resources for multiple candidate cells can reduce access latency, i.e., CFRA is beneficial in latency reduction during handover.</w:t>
      </w:r>
    </w:p>
    <w:p w14:paraId="2768A6DE" w14:textId="5F4CE801" w:rsidR="00286EBA" w:rsidRDefault="008A0C8E">
      <w:pPr>
        <w:pStyle w:val="Observation-HW"/>
        <w:rPr>
          <w:b w:val="0"/>
          <w:lang w:eastAsia="zh-CN"/>
        </w:rPr>
      </w:pPr>
      <w:r>
        <w:t>Proposal 5:</w:t>
      </w:r>
      <w:r>
        <w:tab/>
      </w:r>
      <w:r w:rsidR="000B1C84">
        <w:t xml:space="preserve">For </w:t>
      </w:r>
      <w:r>
        <w:t>6GR</w:t>
      </w:r>
      <w:r w:rsidR="000B1C84">
        <w:t>, RAN2</w:t>
      </w:r>
      <w:r>
        <w:t xml:space="preserve"> should study a mobility framework based on UE-dedicated PRACH resources for multiple candidate cells in order to reduce access latency.</w:t>
      </w:r>
    </w:p>
    <w:p w14:paraId="60C7CC2F" w14:textId="7B9CBA43" w:rsidR="00286EBA" w:rsidRDefault="008A0C8E">
      <w:pPr>
        <w:pStyle w:val="Heading2"/>
        <w:rPr>
          <w:rFonts w:eastAsia="SimSun"/>
        </w:rPr>
      </w:pPr>
      <w:r>
        <w:rPr>
          <w:rFonts w:eastAsia="DengXian"/>
          <w:shd w:val="clear" w:color="auto" w:fill="FFFFFF"/>
          <w:lang w:eastAsia="zh-CN"/>
        </w:rPr>
        <w:lastRenderedPageBreak/>
        <w:t>2.4</w:t>
      </w:r>
      <w:r>
        <w:rPr>
          <w:rFonts w:eastAsia="DengXian"/>
          <w:shd w:val="clear" w:color="auto" w:fill="FFFFFF"/>
          <w:lang w:eastAsia="zh-CN"/>
        </w:rPr>
        <w:tab/>
        <w:t>Energy efficiency</w:t>
      </w:r>
      <w:r>
        <w:rPr>
          <w:rFonts w:eastAsia="SimSun"/>
        </w:rPr>
        <w:t xml:space="preserve"> aspect in connected state mobility</w:t>
      </w:r>
    </w:p>
    <w:p w14:paraId="6BF116CA" w14:textId="5A6A27FE" w:rsidR="00286EBA" w:rsidRDefault="008A0C8E">
      <w:pPr>
        <w:spacing w:before="120"/>
        <w:rPr>
          <w:kern w:val="2"/>
        </w:rPr>
      </w:pPr>
      <w:bookmarkStart w:id="8" w:name="_Hlk203702419"/>
      <w:r>
        <w:rPr>
          <w:kern w:val="2"/>
        </w:rPr>
        <w:t xml:space="preserve">One of the driving forces for 6GR is TCO reduction wherein network energy consumption reduction is an important aspect. 6GR, committing to energy-efficient design, should take energy saving as a fundamental design principle in Day 1, for both network and UE, </w:t>
      </w:r>
      <w:bookmarkEnd w:id="8"/>
      <w:r>
        <w:rPr>
          <w:kern w:val="2"/>
        </w:rPr>
        <w:t xml:space="preserve">as have been agreed </w:t>
      </w:r>
      <w:r>
        <w:t>in the newly approved SI [1].</w:t>
      </w:r>
    </w:p>
    <w:p w14:paraId="6C6E96B9" w14:textId="41863C0B" w:rsidR="00286EBA" w:rsidRDefault="00DF1A4E">
      <w:pPr>
        <w:spacing w:before="120"/>
      </w:pPr>
      <w:r>
        <w:t>To</w:t>
      </w:r>
      <w:r w:rsidR="008A0C8E">
        <w:t xml:space="preserve"> achieve and develop meaningful solutions for network energy saving, we should study how to design 6GR mobility and beam management procedures such that they </w:t>
      </w:r>
      <w:r>
        <w:t>consider</w:t>
      </w:r>
      <w:r w:rsidR="008A0C8E">
        <w:t xml:space="preserve"> Network Energy Saving procedures. </w:t>
      </w:r>
      <w:r w:rsidR="00DA43E4">
        <w:t xml:space="preserve">One technical direction we should study and investigate is that UEs perform mobility measurements in a more energy efficient manner. </w:t>
      </w:r>
      <w:r w:rsidR="008A0C8E">
        <w:t xml:space="preserve">As discussed in our other Tdoc [4] on "Energy efficient and unified RRC state modelling", the connected state should also include the time where the UE has no data to transfer and low UE power consumption is expected, so that it is possible to keep the UE in connected state for prolonged times and avoid state transition latency to resume data transmission. This means that connected state measurements should also be designed </w:t>
      </w:r>
      <w:r>
        <w:t>to</w:t>
      </w:r>
      <w:r w:rsidR="008A0C8E">
        <w:t xml:space="preserve"> minimize the UE power consumption.</w:t>
      </w:r>
    </w:p>
    <w:p w14:paraId="69991AEF" w14:textId="7982B51D" w:rsidR="00286EBA" w:rsidRPr="0050061B" w:rsidRDefault="008A0C8E" w:rsidP="0050061B">
      <w:pPr>
        <w:pStyle w:val="Proposal-HW"/>
      </w:pPr>
      <w:r w:rsidRPr="0050061B">
        <w:t>Proposal 6:</w:t>
      </w:r>
      <w:r w:rsidRPr="0050061B">
        <w:tab/>
        <w:t>RAN2 should study a mobility framework for 6GR connected state measurements with Network/UE Energy Saving and follow RAN1 progress on Energy Saving.</w:t>
      </w:r>
    </w:p>
    <w:p w14:paraId="10DE44BD" w14:textId="647C7359" w:rsidR="00286EBA" w:rsidRDefault="008A0C8E">
      <w:pPr>
        <w:pStyle w:val="Heading2"/>
        <w:rPr>
          <w:rFonts w:eastAsia="SimSun"/>
        </w:rPr>
      </w:pPr>
      <w:r>
        <w:rPr>
          <w:rFonts w:eastAsia="DengXian"/>
          <w:shd w:val="clear" w:color="auto" w:fill="FFFFFF"/>
          <w:lang w:eastAsia="zh-CN"/>
        </w:rPr>
        <w:t>2.5</w:t>
      </w:r>
      <w:r>
        <w:rPr>
          <w:rFonts w:eastAsia="DengXian"/>
          <w:shd w:val="clear" w:color="auto" w:fill="FFFFFF"/>
          <w:lang w:eastAsia="zh-CN"/>
        </w:rPr>
        <w:tab/>
        <w:t>Energy efficiency</w:t>
      </w:r>
      <w:r>
        <w:rPr>
          <w:rFonts w:eastAsia="SimSun"/>
        </w:rPr>
        <w:t xml:space="preserve"> aspect in idle state mobility</w:t>
      </w:r>
    </w:p>
    <w:p w14:paraId="39FFB57E" w14:textId="77777777" w:rsidR="00286EBA" w:rsidRDefault="008A0C8E">
      <w:pPr>
        <w:rPr>
          <w:rFonts w:eastAsiaTheme="minorEastAsia"/>
        </w:rPr>
      </w:pPr>
      <w:r>
        <w:rPr>
          <w:rFonts w:eastAsiaTheme="minorEastAsia"/>
        </w:rPr>
        <w:t xml:space="preserve">In 5G and in previous generations of cellular communication standards, mobility in idle state is performed using the cell selection/reselection function, which is a UE-controlled mobility function. </w:t>
      </w:r>
    </w:p>
    <w:p w14:paraId="21E26A68" w14:textId="77777777" w:rsidR="00286EBA" w:rsidRDefault="008A0C8E">
      <w:pPr>
        <w:rPr>
          <w:rFonts w:eastAsiaTheme="minorEastAsia"/>
        </w:rPr>
      </w:pPr>
      <w:r>
        <w:rPr>
          <w:rFonts w:eastAsiaTheme="minorEastAsia"/>
        </w:rPr>
        <w:t>For 6GR, we should study how to minimize the UE power consumption for cell reselection. RRC_IDLE is a state where UEs would typically be upon powering on or if the UE would be in a long-term deep sleep status, more detailed discussions regarding 6GR RRC_IDLE state may be found in our companion contribution [4]. In beam-based deployments, the UE may need to perform multiple measurements for the same cell in different spatial or angular directions. This may happen in the terrestrial deployments (where the UE may perform measurements in the horizontal domain) and in non-terrestrial deployments (where the UE may perform measurements in the vertical domain). Depending on various factors such as: the radio conditions experienced by the UE, the type of network deployment, the frequency band on which measurements are being carried out, the measurement burden on the UE may be quite high and severely impact its power consumption. In 6GR we should study how to reduce the measurement burden of the UE so that the UE can achieve meaningful energy saving even in RRC_IDLE during cell selection/reselection measurements.</w:t>
      </w:r>
    </w:p>
    <w:p w14:paraId="0618E423" w14:textId="56BC22BE" w:rsidR="00286EBA" w:rsidRDefault="008A0C8E">
      <w:pPr>
        <w:rPr>
          <w:rFonts w:eastAsiaTheme="minorEastAsia"/>
        </w:rPr>
      </w:pPr>
      <w:r>
        <w:rPr>
          <w:rFonts w:eastAsiaTheme="minorEastAsia"/>
        </w:rPr>
        <w:t xml:space="preserve">For Network Energy Saving, it would be beneficial to use longer SS/PBCH block transmission periodicity. Using long periodicity for SS/PBCH block transmission for cell selection/reselection measurements may have a limited impact on the UE when looking specifically at the functions of cell selection/reselection. This is because the measurement periodicity in RRC_IDLE may be much longer when compared with the measurement periodicity for mobility in RRC_CONNECTED. </w:t>
      </w:r>
      <w:r w:rsidR="00DA43E4">
        <w:rPr>
          <w:rFonts w:eastAsiaTheme="minorEastAsia"/>
        </w:rPr>
        <w:t>For monitoring System Information and Paging, m</w:t>
      </w:r>
      <w:r>
        <w:rPr>
          <w:rFonts w:eastAsiaTheme="minorEastAsia"/>
        </w:rPr>
        <w:t xml:space="preserve">onitoring PDCCH transmissions requires UEs to acquire fine synchronization, this usually means that UEs </w:t>
      </w:r>
      <w:r w:rsidR="0050061B">
        <w:rPr>
          <w:rFonts w:eastAsiaTheme="minorEastAsia"/>
        </w:rPr>
        <w:t>must</w:t>
      </w:r>
      <w:r>
        <w:rPr>
          <w:rFonts w:eastAsiaTheme="minorEastAsia"/>
        </w:rPr>
        <w:t xml:space="preserve"> wake up earlier </w:t>
      </w:r>
      <w:r w:rsidR="0050061B">
        <w:rPr>
          <w:rFonts w:eastAsiaTheme="minorEastAsia"/>
        </w:rPr>
        <w:t>to</w:t>
      </w:r>
      <w:r>
        <w:rPr>
          <w:rFonts w:eastAsiaTheme="minorEastAsia"/>
        </w:rPr>
        <w:t xml:space="preserve"> acquire this fine synchronization. A UE may need to receive the corresponding SS/PBCH block two to three times </w:t>
      </w:r>
      <w:r w:rsidR="0050061B">
        <w:rPr>
          <w:rFonts w:eastAsiaTheme="minorEastAsia"/>
        </w:rPr>
        <w:t>to</w:t>
      </w:r>
      <w:r>
        <w:rPr>
          <w:rFonts w:eastAsiaTheme="minorEastAsia"/>
        </w:rPr>
        <w:t xml:space="preserve"> acquire fine synchronization. </w:t>
      </w:r>
      <w:r w:rsidR="0050061B">
        <w:rPr>
          <w:rFonts w:eastAsiaTheme="minorEastAsia"/>
        </w:rPr>
        <w:t>If</w:t>
      </w:r>
      <w:r>
        <w:rPr>
          <w:rFonts w:eastAsiaTheme="minorEastAsia"/>
        </w:rPr>
        <w:t xml:space="preserve"> the UE is in deep sleep prior to monitoring such PDCCHs (for SI or Paging), then the UE would need to wake up ahead of time </w:t>
      </w:r>
      <w:r w:rsidR="0050061B">
        <w:rPr>
          <w:rFonts w:eastAsiaTheme="minorEastAsia"/>
        </w:rPr>
        <w:t>to</w:t>
      </w:r>
      <w:r>
        <w:rPr>
          <w:rFonts w:eastAsiaTheme="minorEastAsia"/>
        </w:rPr>
        <w:t xml:space="preserve"> detect and measure two to three SS/PBCH blocks located before the PDCCH monitoring occasion. This is shown in the figure below:</w:t>
      </w:r>
    </w:p>
    <w:p w14:paraId="60EB3165" w14:textId="77777777" w:rsidR="00286EBA" w:rsidRDefault="008A0C8E">
      <w:pPr>
        <w:jc w:val="center"/>
        <w:rPr>
          <w:rFonts w:eastAsiaTheme="minorEastAsia"/>
        </w:rPr>
      </w:pPr>
      <w:r>
        <w:rPr>
          <w:rFonts w:eastAsiaTheme="minorEastAsia"/>
          <w:noProof/>
        </w:rPr>
        <w:drawing>
          <wp:inline distT="0" distB="0" distL="0" distR="0" wp14:anchorId="4396998F" wp14:editId="038DD320">
            <wp:extent cx="4949825" cy="732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076994" cy="751828"/>
                    </a:xfrm>
                    <a:prstGeom prst="rect">
                      <a:avLst/>
                    </a:prstGeom>
                    <a:noFill/>
                  </pic:spPr>
                </pic:pic>
              </a:graphicData>
            </a:graphic>
          </wp:inline>
        </w:drawing>
      </w:r>
    </w:p>
    <w:p w14:paraId="39D2C735" w14:textId="77777777" w:rsidR="00286EBA" w:rsidRDefault="008A0C8E">
      <w:pPr>
        <w:jc w:val="center"/>
        <w:rPr>
          <w:rFonts w:eastAsiaTheme="minorEastAsia"/>
          <w:lang w:val="en-US"/>
        </w:rPr>
      </w:pPr>
      <w:r>
        <w:rPr>
          <w:rFonts w:eastAsiaTheme="minorEastAsia"/>
          <w:lang w:val="en-US"/>
        </w:rPr>
        <w:t>Figure 5: SI and Paging process in 5G NR</w:t>
      </w:r>
    </w:p>
    <w:p w14:paraId="050F5E0C" w14:textId="77777777" w:rsidR="00286EBA" w:rsidRDefault="008A0C8E">
      <w:pPr>
        <w:rPr>
          <w:rFonts w:eastAsiaTheme="minorEastAsia"/>
        </w:rPr>
      </w:pPr>
      <w:r>
        <w:rPr>
          <w:rFonts w:eastAsiaTheme="minorEastAsia"/>
          <w:lang w:val="en-US"/>
        </w:rPr>
        <w:t>For 6GR we should study mobility mechanisms which are more energy efficient and which would allow to stay in deep sleep as long as possible while operations related to cell selection/reselection and camping on a cell take up the least amount of effort from the UE in order to maximize energy savings.</w:t>
      </w:r>
    </w:p>
    <w:p w14:paraId="0C067A4B" w14:textId="7F617AA6" w:rsidR="00286EBA" w:rsidRPr="0050061B" w:rsidRDefault="008A0C8E" w:rsidP="0050061B">
      <w:pPr>
        <w:pStyle w:val="Proposal-HW"/>
      </w:pPr>
      <w:r w:rsidRPr="0050061B">
        <w:t xml:space="preserve">Proposal 7: </w:t>
      </w:r>
      <w:r w:rsidRPr="0050061B">
        <w:tab/>
        <w:t>RAN2 should study a</w:t>
      </w:r>
      <w:r w:rsidR="00A651C9">
        <w:t>n</w:t>
      </w:r>
      <w:r w:rsidRPr="0050061B">
        <w:t xml:space="preserve"> IDLE mobility and measurement framework with Network/UE Energy Saving and follow RAN1 progress on Energy Saving.</w:t>
      </w:r>
    </w:p>
    <w:p w14:paraId="3AB42EF7" w14:textId="77777777" w:rsidR="00286EBA" w:rsidRDefault="008A0C8E">
      <w:pPr>
        <w:overflowPunct/>
        <w:autoSpaceDE/>
        <w:autoSpaceDN/>
        <w:adjustRightInd/>
        <w:spacing w:after="0"/>
        <w:textAlignment w:val="auto"/>
        <w:rPr>
          <w:rFonts w:eastAsiaTheme="minorEastAsia"/>
          <w:lang w:val="en-US"/>
        </w:rPr>
      </w:pPr>
      <w:r>
        <w:rPr>
          <w:rFonts w:eastAsiaTheme="minorEastAsia"/>
          <w:lang w:val="en-US"/>
        </w:rPr>
        <w:br w:type="page"/>
      </w:r>
    </w:p>
    <w:p w14:paraId="2D7A8D21" w14:textId="77777777" w:rsidR="00286EBA" w:rsidRDefault="008A0C8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Conclusion</w:t>
      </w:r>
    </w:p>
    <w:p w14:paraId="5A8F3C03" w14:textId="3E7A60AD" w:rsidR="00286EBA" w:rsidRDefault="006E5068">
      <w:pPr>
        <w:rPr>
          <w:lang w:eastAsia="zh-CN"/>
        </w:rPr>
      </w:pPr>
      <w:r>
        <w:rPr>
          <w:lang w:eastAsia="zh-CN"/>
        </w:rPr>
        <w:t>W</w:t>
      </w:r>
      <w:r w:rsidR="008A0C8E">
        <w:rPr>
          <w:lang w:eastAsia="zh-CN"/>
        </w:rPr>
        <w:t xml:space="preserve">e have </w:t>
      </w:r>
      <w:r w:rsidR="004A2B64">
        <w:rPr>
          <w:lang w:eastAsia="zh-CN"/>
        </w:rPr>
        <w:t>discussed</w:t>
      </w:r>
      <w:r w:rsidR="008A0C8E">
        <w:rPr>
          <w:lang w:eastAsia="zh-CN"/>
        </w:rPr>
        <w:t xml:space="preserve"> 6G mobility</w:t>
      </w:r>
      <w:r>
        <w:rPr>
          <w:lang w:eastAsia="zh-CN"/>
        </w:rPr>
        <w:t xml:space="preserve"> and</w:t>
      </w:r>
      <w:r w:rsidR="004A2B64">
        <w:rPr>
          <w:lang w:eastAsia="zh-CN"/>
        </w:rPr>
        <w:t xml:space="preserve"> made the following </w:t>
      </w:r>
      <w:r w:rsidR="008A0C8E">
        <w:rPr>
          <w:lang w:eastAsia="zh-CN"/>
        </w:rPr>
        <w:t>observations</w:t>
      </w:r>
      <w:r w:rsidR="004A2B64">
        <w:rPr>
          <w:lang w:eastAsia="zh-CN"/>
        </w:rPr>
        <w:t>:</w:t>
      </w:r>
    </w:p>
    <w:p w14:paraId="091D10F6" w14:textId="77777777" w:rsidR="00286EBA" w:rsidRDefault="008A0C8E">
      <w:pPr>
        <w:pStyle w:val="Observation-HW"/>
        <w:rPr>
          <w:b w:val="0"/>
        </w:rPr>
      </w:pPr>
      <w:r>
        <w:t>Observation 1:</w:t>
      </w:r>
      <w:r>
        <w:tab/>
        <w:t>6GR mobility and beam management framework should jointly consider practical deployment scenarios, handover performance and UE/NW implementation complexity from day 1.</w:t>
      </w:r>
    </w:p>
    <w:p w14:paraId="3B205801" w14:textId="77777777" w:rsidR="00286EBA" w:rsidRDefault="008A0C8E">
      <w:pPr>
        <w:pStyle w:val="Observation-HW"/>
        <w:rPr>
          <w:b w:val="0"/>
        </w:rPr>
      </w:pPr>
      <w:r>
        <w:t xml:space="preserve">Observation 2: </w:t>
      </w:r>
      <w:r>
        <w:tab/>
        <w:t>UE and network implementation complexity is a critical factor in commercial adoption of mobility solutions.</w:t>
      </w:r>
    </w:p>
    <w:p w14:paraId="62DCDF66" w14:textId="77777777" w:rsidR="00286EBA" w:rsidRDefault="008A0C8E">
      <w:pPr>
        <w:pStyle w:val="Observation-HW"/>
        <w:rPr>
          <w:b w:val="0"/>
        </w:rPr>
      </w:pPr>
      <w:r>
        <w:t>Observation 3:</w:t>
      </w:r>
      <w:r>
        <w:tab/>
        <w:t>UE processing and interruption uncertainty related to PRACH are the main bottlenecks that contribute to latency/interruption during mobility procedures.</w:t>
      </w:r>
    </w:p>
    <w:p w14:paraId="4E733F5E" w14:textId="3FDC6FA4" w:rsidR="00286EBA" w:rsidRDefault="008A0C8E">
      <w:pPr>
        <w:pStyle w:val="Observation-HW"/>
        <w:rPr>
          <w:lang w:eastAsia="zh-CN"/>
        </w:rPr>
      </w:pPr>
      <w:r>
        <w:t>Observation 4:</w:t>
      </w:r>
      <w:r>
        <w:tab/>
        <w:t>A mobility framework based on UE-dedicated resources for multiple candidate cells can reduce access latency</w:t>
      </w:r>
      <w:r w:rsidR="004A2B64">
        <w:t>, i.e., CFRA is beneficial in latency reduction during handover.</w:t>
      </w:r>
    </w:p>
    <w:p w14:paraId="0271FD15" w14:textId="77777777" w:rsidR="006E5068" w:rsidRDefault="006E5068" w:rsidP="0050061B">
      <w:pPr>
        <w:pStyle w:val="Proposal-HW"/>
        <w:rPr>
          <w:b w:val="0"/>
          <w:bCs/>
        </w:rPr>
      </w:pPr>
    </w:p>
    <w:p w14:paraId="3652E7E5" w14:textId="7FEEAD0E" w:rsidR="00286EBA" w:rsidRPr="004A2B64" w:rsidRDefault="004A2B64" w:rsidP="0050061B">
      <w:pPr>
        <w:pStyle w:val="Proposal-HW"/>
        <w:rPr>
          <w:b w:val="0"/>
          <w:bCs/>
        </w:rPr>
      </w:pPr>
      <w:r w:rsidRPr="004A2B64">
        <w:rPr>
          <w:b w:val="0"/>
          <w:bCs/>
        </w:rPr>
        <w:t>We have the following proposals:</w:t>
      </w:r>
    </w:p>
    <w:p w14:paraId="25970181" w14:textId="77777777" w:rsidR="00286EBA" w:rsidRPr="0050061B" w:rsidRDefault="008A0C8E" w:rsidP="0050061B">
      <w:pPr>
        <w:pStyle w:val="Proposal-HW"/>
      </w:pPr>
      <w:r w:rsidRPr="0050061B">
        <w:t>Proposal 1:</w:t>
      </w:r>
      <w:r w:rsidRPr="0050061B">
        <w:tab/>
        <w:t>RAN2 should study intra-RAT handover and inter-RAT handover in 6GR. RAN2 should start with intra-RAT handover, followed by inter-RAT handover (e.g., 6G to 5G handover).</w:t>
      </w:r>
    </w:p>
    <w:p w14:paraId="1C411233" w14:textId="3CF10CD8" w:rsidR="00286EBA" w:rsidRPr="0050061B" w:rsidRDefault="008A0C8E" w:rsidP="0050061B">
      <w:pPr>
        <w:pStyle w:val="Proposal-HW"/>
      </w:pPr>
      <w:r w:rsidRPr="0050061B">
        <w:t>Proposal 2:</w:t>
      </w:r>
      <w:r w:rsidRPr="0050061B">
        <w:tab/>
      </w:r>
      <w:r w:rsidR="004A2B64">
        <w:t xml:space="preserve">The </w:t>
      </w:r>
      <w:r w:rsidRPr="0050061B">
        <w:t xml:space="preserve">6GR handover procedure should be </w:t>
      </w:r>
      <w:r w:rsidR="004A2B64">
        <w:t>designed</w:t>
      </w:r>
      <w:r w:rsidRPr="0050061B">
        <w:t xml:space="preserve"> </w:t>
      </w:r>
      <w:r w:rsidR="004A2B64">
        <w:t xml:space="preserve">based </w:t>
      </w:r>
      <w:r w:rsidRPr="0050061B">
        <w:t>on the following targets:</w:t>
      </w:r>
    </w:p>
    <w:p w14:paraId="07640047" w14:textId="321D0945" w:rsidR="00286EBA" w:rsidRDefault="008A0C8E">
      <w:pPr>
        <w:pStyle w:val="Sub-bulletofproposal"/>
        <w:rPr>
          <w:b w:val="0"/>
        </w:rPr>
      </w:pPr>
      <w:r>
        <w:t>Simplification and unification</w:t>
      </w:r>
      <w:r w:rsidR="004A2B64">
        <w:t>;</w:t>
      </w:r>
    </w:p>
    <w:p w14:paraId="226B5DCA" w14:textId="19B627CB" w:rsidR="00286EBA" w:rsidRDefault="008A0C8E">
      <w:pPr>
        <w:pStyle w:val="Sub-bulletofproposal"/>
        <w:rPr>
          <w:b w:val="0"/>
        </w:rPr>
      </w:pPr>
      <w:r>
        <w:t>Minimization latency/interruption time/data loss</w:t>
      </w:r>
      <w:r w:rsidR="004A2B64">
        <w:t>;</w:t>
      </w:r>
    </w:p>
    <w:p w14:paraId="0BF9D87E" w14:textId="3B405AC7" w:rsidR="00286EBA" w:rsidRDefault="008A0C8E">
      <w:pPr>
        <w:pStyle w:val="Sub-bulletofproposal"/>
        <w:rPr>
          <w:b w:val="0"/>
        </w:rPr>
      </w:pPr>
      <w:r>
        <w:t>Enhancement of robustness</w:t>
      </w:r>
      <w:r w:rsidR="004A2B64">
        <w:t>.</w:t>
      </w:r>
    </w:p>
    <w:p w14:paraId="0AF2FF8A" w14:textId="4CF46306" w:rsidR="00286EBA" w:rsidRPr="0050061B" w:rsidRDefault="008A0C8E" w:rsidP="0050061B">
      <w:pPr>
        <w:pStyle w:val="Proposal-HW"/>
      </w:pPr>
      <w:r w:rsidRPr="0050061B">
        <w:t>Proposal 3:</w:t>
      </w:r>
      <w:r w:rsidRPr="0050061B">
        <w:tab/>
        <w:t xml:space="preserve">RAN2 should study a simplified/unified </w:t>
      </w:r>
      <w:r w:rsidR="001713F6">
        <w:t>handover</w:t>
      </w:r>
      <w:r w:rsidRPr="0050061B">
        <w:t xml:space="preserve"> procedure for 6G based on the following principles:</w:t>
      </w:r>
    </w:p>
    <w:p w14:paraId="27421997" w14:textId="68931E95" w:rsidR="00286EBA" w:rsidRDefault="008A0C8E">
      <w:pPr>
        <w:pStyle w:val="Sub-bulletofproposal"/>
      </w:pPr>
      <w:r>
        <w:t>the 6GR mobility procedure can be triggered by network signalling;</w:t>
      </w:r>
    </w:p>
    <w:p w14:paraId="2DDC8222" w14:textId="67F84FC8" w:rsidR="00286EBA" w:rsidRDefault="008A0C8E">
      <w:pPr>
        <w:pStyle w:val="Sub-bulletofproposal"/>
      </w:pPr>
      <w:r>
        <w:t xml:space="preserve">study whether and how to support the 6GR </w:t>
      </w:r>
      <w:r w:rsidR="001713F6">
        <w:t>handover</w:t>
      </w:r>
      <w:r>
        <w:t xml:space="preserve"> triggered by the UE (e.g.</w:t>
      </w:r>
      <w:r w:rsidR="0058395B">
        <w:t>,</w:t>
      </w:r>
      <w:r>
        <w:t xml:space="preserve"> conditional handover) after fully evaluating impacts on the network.</w:t>
      </w:r>
    </w:p>
    <w:p w14:paraId="7F7928BE" w14:textId="4CF7457E" w:rsidR="00286EBA" w:rsidRPr="0050061B" w:rsidRDefault="008A0C8E" w:rsidP="0050061B">
      <w:pPr>
        <w:pStyle w:val="Proposal-HW"/>
      </w:pPr>
      <w:r w:rsidRPr="0050061B">
        <w:t>Proposal 4:</w:t>
      </w:r>
      <w:r w:rsidRPr="0050061B">
        <w:tab/>
      </w:r>
      <w:r w:rsidR="000B1C84">
        <w:t>For 6GR, RAN2</w:t>
      </w:r>
      <w:r w:rsidRPr="0050061B">
        <w:t xml:space="preserve"> should study a unified/common solution for measurement, configuration and reporting suitable for L1 measurements and L3 measurements for mobility.</w:t>
      </w:r>
    </w:p>
    <w:p w14:paraId="7E80655F" w14:textId="3F624544" w:rsidR="00286EBA" w:rsidRDefault="008A0C8E" w:rsidP="00D23C94">
      <w:pPr>
        <w:pStyle w:val="Proposal-HW"/>
      </w:pPr>
      <w:r>
        <w:t>Proposal 5:</w:t>
      </w:r>
      <w:r>
        <w:tab/>
      </w:r>
      <w:r w:rsidR="000B1C84">
        <w:t xml:space="preserve">For </w:t>
      </w:r>
      <w:r>
        <w:t>6GR</w:t>
      </w:r>
      <w:r w:rsidR="000B1C84">
        <w:t>, RAN2</w:t>
      </w:r>
      <w:r>
        <w:t xml:space="preserve"> should study a mobility framework based on UE-dedicated resources for multiple candidate cells in order to reduce access latency.</w:t>
      </w:r>
    </w:p>
    <w:p w14:paraId="1EBDF73B" w14:textId="0BAE9A3B" w:rsidR="00286EBA" w:rsidRPr="0050061B" w:rsidRDefault="008A0C8E" w:rsidP="0050061B">
      <w:pPr>
        <w:pStyle w:val="Proposal-HW"/>
      </w:pPr>
      <w:r w:rsidRPr="0050061B">
        <w:t>Proposal 6:</w:t>
      </w:r>
      <w:r w:rsidRPr="0050061B">
        <w:tab/>
        <w:t>RAN2 should study a mobility framework for 6GR connected state measurements with Network/UE Energy Saving and follow RAN1 progress on Energy Saving.</w:t>
      </w:r>
    </w:p>
    <w:p w14:paraId="78C266E0" w14:textId="101981ED" w:rsidR="00286EBA" w:rsidRPr="0050061B" w:rsidRDefault="008A0C8E" w:rsidP="0050061B">
      <w:pPr>
        <w:pStyle w:val="Proposal-HW"/>
      </w:pPr>
      <w:r w:rsidRPr="0050061B">
        <w:t xml:space="preserve">Proposal 7: </w:t>
      </w:r>
      <w:r w:rsidRPr="0050061B">
        <w:tab/>
        <w:t>RAN2 should study a</w:t>
      </w:r>
      <w:r w:rsidR="00A651C9">
        <w:t>n</w:t>
      </w:r>
      <w:r w:rsidRPr="0050061B">
        <w:t xml:space="preserve"> IDLE mobility and measurement framework for cell reselection with Network/UE Energy Saving and follow RAN1 progress on Energy Saving.</w:t>
      </w:r>
    </w:p>
    <w:p w14:paraId="2ED13A1C" w14:textId="77777777" w:rsidR="00286EBA" w:rsidRDefault="008A0C8E">
      <w:pPr>
        <w:overflowPunct/>
        <w:autoSpaceDE/>
        <w:autoSpaceDN/>
        <w:adjustRightInd/>
        <w:spacing w:after="0"/>
        <w:textAlignment w:val="auto"/>
        <w:rPr>
          <w:lang w:eastAsia="zh-CN"/>
        </w:rPr>
      </w:pPr>
      <w:r>
        <w:rPr>
          <w:lang w:eastAsia="zh-CN"/>
        </w:rPr>
        <w:br w:type="page"/>
      </w:r>
    </w:p>
    <w:p w14:paraId="2BAF1F10" w14:textId="5EFB0832" w:rsidR="00286EBA" w:rsidRDefault="008A0C8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lastRenderedPageBreak/>
        <w:t>4</w:t>
      </w:r>
      <w:r>
        <w:rPr>
          <w:rFonts w:ascii="Arial" w:eastAsia="Malgun Gothic" w:hAnsi="Arial"/>
          <w:sz w:val="36"/>
          <w:lang w:eastAsia="de-DE"/>
        </w:rPr>
        <w:tab/>
        <w:t>Reference</w:t>
      </w:r>
      <w:r w:rsidR="00257D68">
        <w:rPr>
          <w:rFonts w:ascii="Arial" w:eastAsia="Malgun Gothic" w:hAnsi="Arial"/>
          <w:sz w:val="36"/>
          <w:lang w:eastAsia="de-DE"/>
        </w:rPr>
        <w:t>s</w:t>
      </w:r>
    </w:p>
    <w:p w14:paraId="784768F3" w14:textId="77777777" w:rsidR="00286EBA" w:rsidRDefault="008A0C8E">
      <w:pPr>
        <w:numPr>
          <w:ilvl w:val="0"/>
          <w:numId w:val="10"/>
        </w:numPr>
        <w:overflowPunct/>
        <w:autoSpaceDE/>
        <w:autoSpaceDN/>
        <w:adjustRightInd/>
        <w:spacing w:line="240" w:lineRule="atLeast"/>
        <w:textAlignment w:val="auto"/>
        <w:rPr>
          <w:rFonts w:eastAsia="SimSun"/>
          <w:lang w:eastAsia="zh-CN"/>
        </w:rPr>
      </w:pPr>
      <w:bookmarkStart w:id="9" w:name="_Ref162617301"/>
      <w:r w:rsidRPr="00504C03">
        <w:rPr>
          <w:rFonts w:eastAsia="SimSun"/>
          <w:iCs/>
          <w:lang w:eastAsia="zh-CN"/>
        </w:rPr>
        <w:t>RP-251881,</w:t>
      </w:r>
      <w:r>
        <w:rPr>
          <w:rFonts w:eastAsia="SimSun"/>
          <w:lang w:eastAsia="zh-CN"/>
        </w:rPr>
        <w:t xml:space="preserve"> </w:t>
      </w:r>
      <w:bookmarkStart w:id="10" w:name="_Ref162454731"/>
      <w:bookmarkEnd w:id="9"/>
      <w:r>
        <w:rPr>
          <w:rFonts w:eastAsia="SimSun"/>
          <w:lang w:eastAsia="zh-CN"/>
        </w:rPr>
        <w:t>New SID: Study on 6G Radio;</w:t>
      </w:r>
    </w:p>
    <w:bookmarkEnd w:id="10"/>
    <w:p w14:paraId="66921EB2" w14:textId="1D2EE51A" w:rsidR="00286EBA" w:rsidRDefault="008A0C8E">
      <w:pPr>
        <w:numPr>
          <w:ilvl w:val="0"/>
          <w:numId w:val="10"/>
        </w:numPr>
        <w:overflowPunct/>
        <w:autoSpaceDE/>
        <w:autoSpaceDN/>
        <w:adjustRightInd/>
        <w:spacing w:line="240" w:lineRule="atLeast"/>
        <w:textAlignment w:val="auto"/>
        <w:rPr>
          <w:rFonts w:eastAsia="SimSun"/>
          <w:lang w:eastAsia="zh-CN"/>
        </w:rPr>
      </w:pPr>
      <w:r w:rsidRPr="00504C03">
        <w:rPr>
          <w:rFonts w:eastAsia="DengXian"/>
          <w:lang w:val="en-US" w:eastAsia="zh-CN"/>
        </w:rPr>
        <w:t xml:space="preserve">6GWS-250159, </w:t>
      </w:r>
      <w:r>
        <w:rPr>
          <w:rFonts w:eastAsia="DengXian"/>
          <w:lang w:val="en-US" w:eastAsia="zh-CN"/>
        </w:rPr>
        <w:t>Views on 6G Radio, Huawei, 3GPP 6G Workshop, March 10-11, 2025, Seoul, South Korea</w:t>
      </w:r>
      <w:r>
        <w:rPr>
          <w:lang w:eastAsia="en-GB"/>
        </w:rPr>
        <w:t>;</w:t>
      </w:r>
    </w:p>
    <w:p w14:paraId="0EB08C93" w14:textId="1293B210" w:rsidR="00286EBA" w:rsidRDefault="008A0C8E">
      <w:pPr>
        <w:numPr>
          <w:ilvl w:val="0"/>
          <w:numId w:val="10"/>
        </w:numPr>
        <w:overflowPunct/>
        <w:autoSpaceDE/>
        <w:autoSpaceDN/>
        <w:adjustRightInd/>
        <w:spacing w:line="240" w:lineRule="atLeast"/>
        <w:textAlignment w:val="auto"/>
        <w:rPr>
          <w:rFonts w:eastAsia="SimSun"/>
          <w:lang w:eastAsia="zh-CN"/>
        </w:rPr>
      </w:pPr>
      <w:r w:rsidRPr="00504C03">
        <w:rPr>
          <w:iCs/>
          <w:lang w:val="en-US"/>
        </w:rPr>
        <w:t xml:space="preserve">TS 38.133, </w:t>
      </w:r>
      <w:r>
        <w:rPr>
          <w:iCs/>
          <w:lang w:val="en-US"/>
        </w:rPr>
        <w:t>Requirements for support of radio resource management, v19.1.0;</w:t>
      </w:r>
    </w:p>
    <w:p w14:paraId="260DAB30" w14:textId="5D2C2727" w:rsidR="00286EBA" w:rsidRPr="0049120B" w:rsidRDefault="008A0C8E" w:rsidP="0062465D">
      <w:pPr>
        <w:numPr>
          <w:ilvl w:val="0"/>
          <w:numId w:val="10"/>
        </w:numPr>
        <w:overflowPunct/>
        <w:autoSpaceDE/>
        <w:autoSpaceDN/>
        <w:adjustRightInd/>
        <w:spacing w:line="240" w:lineRule="atLeast"/>
        <w:textAlignment w:val="auto"/>
        <w:rPr>
          <w:iCs/>
          <w:lang w:val="en-US"/>
        </w:rPr>
      </w:pPr>
      <w:r w:rsidRPr="0049120B">
        <w:rPr>
          <w:iCs/>
          <w:lang w:val="en-US"/>
        </w:rPr>
        <w:t>R2-2506857</w:t>
      </w:r>
      <w:r w:rsidR="0049120B">
        <w:rPr>
          <w:iCs/>
          <w:lang w:val="en-US"/>
        </w:rPr>
        <w:t>,</w:t>
      </w:r>
      <w:r w:rsidRPr="0049120B">
        <w:rPr>
          <w:iCs/>
          <w:lang w:val="en-US"/>
        </w:rPr>
        <w:t xml:space="preserve"> Energy efficient and unified RRC state modelling, Huawei, HiSilicon</w:t>
      </w:r>
    </w:p>
    <w:p w14:paraId="756D045C" w14:textId="463068A4" w:rsidR="00286EBA" w:rsidRDefault="008A0C8E">
      <w:pPr>
        <w:numPr>
          <w:ilvl w:val="0"/>
          <w:numId w:val="10"/>
        </w:numPr>
        <w:overflowPunct/>
        <w:autoSpaceDE/>
        <w:autoSpaceDN/>
        <w:adjustRightInd/>
        <w:spacing w:line="240" w:lineRule="atLeast"/>
        <w:textAlignment w:val="auto"/>
        <w:rPr>
          <w:iCs/>
          <w:lang w:val="en-US"/>
        </w:rPr>
      </w:pPr>
      <w:r w:rsidRPr="0049120B">
        <w:rPr>
          <w:iCs/>
          <w:lang w:val="en-US"/>
        </w:rPr>
        <w:t>TS 38.300</w:t>
      </w:r>
      <w:r w:rsidRPr="00BE4B40">
        <w:rPr>
          <w:iCs/>
          <w:lang w:val="en-US"/>
        </w:rPr>
        <w:t>, NR and NG-RAN Overall Description, v19.1.0</w:t>
      </w:r>
    </w:p>
    <w:p w14:paraId="724D38E7" w14:textId="7067B6C9" w:rsidR="00286EBA" w:rsidRPr="0049120B" w:rsidRDefault="0049120B" w:rsidP="00BE4B40">
      <w:pPr>
        <w:numPr>
          <w:ilvl w:val="0"/>
          <w:numId w:val="10"/>
        </w:numPr>
        <w:overflowPunct/>
        <w:autoSpaceDE/>
        <w:autoSpaceDN/>
        <w:adjustRightInd/>
        <w:spacing w:line="240" w:lineRule="atLeast"/>
        <w:textAlignment w:val="auto"/>
        <w:rPr>
          <w:iCs/>
          <w:lang w:val="en-US"/>
        </w:rPr>
      </w:pPr>
      <w:r w:rsidRPr="0049120B">
        <w:rPr>
          <w:iCs/>
          <w:lang w:val="en-US"/>
        </w:rPr>
        <w:t>R1-2507063</w:t>
      </w:r>
      <w:r w:rsidRPr="0049120B">
        <w:rPr>
          <w:iCs/>
          <w:lang w:val="en-US"/>
        </w:rPr>
        <w:tab/>
        <w:t>Views on energy saving for 6GR, Huawei, HiSilicon</w:t>
      </w:r>
    </w:p>
    <w:p w14:paraId="12050077" w14:textId="77777777" w:rsidR="00286EBA" w:rsidRDefault="00286EBA">
      <w:pPr>
        <w:rPr>
          <w:rFonts w:eastAsia="Malgun Gothic"/>
          <w:lang w:eastAsia="de-DE"/>
        </w:rPr>
      </w:pPr>
    </w:p>
    <w:sectPr w:rsidR="00286EB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80070" w14:textId="77777777" w:rsidR="00D908A5" w:rsidRDefault="00D908A5">
      <w:pPr>
        <w:spacing w:after="0"/>
      </w:pPr>
      <w:r>
        <w:separator/>
      </w:r>
    </w:p>
  </w:endnote>
  <w:endnote w:type="continuationSeparator" w:id="0">
    <w:p w14:paraId="5038D1E9" w14:textId="77777777" w:rsidR="00D908A5" w:rsidRDefault="00D908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6401F" w14:textId="77777777" w:rsidR="00D908A5" w:rsidRDefault="00D908A5">
      <w:pPr>
        <w:spacing w:after="0"/>
      </w:pPr>
      <w:r>
        <w:separator/>
      </w:r>
    </w:p>
  </w:footnote>
  <w:footnote w:type="continuationSeparator" w:id="0">
    <w:p w14:paraId="4E9E7563" w14:textId="77777777" w:rsidR="00D908A5" w:rsidRDefault="00D908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48D714A"/>
    <w:multiLevelType w:val="multilevel"/>
    <w:tmpl w:val="248D714A"/>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SimSun" w:hAnsi="Times New Roman" w:cs="Times New Roman" w:hint="default"/>
      </w:rPr>
    </w:lvl>
    <w:lvl w:ilvl="3">
      <w:start w:val="1"/>
      <w:numFmt w:val="bullet"/>
      <w:pStyle w:val="B-4"/>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num w:numId="1">
    <w:abstractNumId w:val="9"/>
  </w:num>
  <w:num w:numId="2">
    <w:abstractNumId w:val="2"/>
  </w:num>
  <w:num w:numId="3">
    <w:abstractNumId w:val="6"/>
  </w:num>
  <w:num w:numId="4">
    <w:abstractNumId w:val="5"/>
  </w:num>
  <w:num w:numId="5">
    <w:abstractNumId w:val="4"/>
  </w:num>
  <w:num w:numId="6">
    <w:abstractNumId w:val="1"/>
  </w:num>
  <w:num w:numId="7">
    <w:abstractNumId w:val="8"/>
  </w:num>
  <w:num w:numId="8">
    <w:abstractNumId w:val="7"/>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F71240"/>
    <w:rsid w:val="9C7F4039"/>
    <w:rsid w:val="AEFF4DC1"/>
    <w:rsid w:val="AFFFE21F"/>
    <w:rsid w:val="B3F37532"/>
    <w:rsid w:val="BDCFC11C"/>
    <w:rsid w:val="BDFC69FC"/>
    <w:rsid w:val="C2FF396B"/>
    <w:rsid w:val="CA6DBAE7"/>
    <w:rsid w:val="DBF9BD38"/>
    <w:rsid w:val="DD7707D5"/>
    <w:rsid w:val="DDBCD7D5"/>
    <w:rsid w:val="DF7637E3"/>
    <w:rsid w:val="DFF781C0"/>
    <w:rsid w:val="E9D6BDF2"/>
    <w:rsid w:val="EFFF730F"/>
    <w:rsid w:val="F5DD9706"/>
    <w:rsid w:val="F5FB72DF"/>
    <w:rsid w:val="F749132E"/>
    <w:rsid w:val="FA2B9DAA"/>
    <w:rsid w:val="FB7B3DA6"/>
    <w:rsid w:val="FE9E2F7F"/>
    <w:rsid w:val="FF6F5102"/>
    <w:rsid w:val="000005C3"/>
    <w:rsid w:val="000008E0"/>
    <w:rsid w:val="00001F78"/>
    <w:rsid w:val="0000211B"/>
    <w:rsid w:val="00002487"/>
    <w:rsid w:val="00002890"/>
    <w:rsid w:val="0000301B"/>
    <w:rsid w:val="00003244"/>
    <w:rsid w:val="000040BE"/>
    <w:rsid w:val="00004317"/>
    <w:rsid w:val="00004354"/>
    <w:rsid w:val="00004EE4"/>
    <w:rsid w:val="000061EF"/>
    <w:rsid w:val="00006CF9"/>
    <w:rsid w:val="0000740C"/>
    <w:rsid w:val="00007C6A"/>
    <w:rsid w:val="000100D2"/>
    <w:rsid w:val="000105C6"/>
    <w:rsid w:val="00010D7D"/>
    <w:rsid w:val="00011531"/>
    <w:rsid w:val="000117E3"/>
    <w:rsid w:val="00012009"/>
    <w:rsid w:val="000123A6"/>
    <w:rsid w:val="00012DFE"/>
    <w:rsid w:val="00012F7E"/>
    <w:rsid w:val="000136F4"/>
    <w:rsid w:val="000142D5"/>
    <w:rsid w:val="00015115"/>
    <w:rsid w:val="000153C0"/>
    <w:rsid w:val="0001598D"/>
    <w:rsid w:val="00015D79"/>
    <w:rsid w:val="000161C4"/>
    <w:rsid w:val="000162D3"/>
    <w:rsid w:val="00016609"/>
    <w:rsid w:val="000200FE"/>
    <w:rsid w:val="0002143E"/>
    <w:rsid w:val="000215B8"/>
    <w:rsid w:val="000215E2"/>
    <w:rsid w:val="0002161D"/>
    <w:rsid w:val="00021920"/>
    <w:rsid w:val="00021D86"/>
    <w:rsid w:val="000220E9"/>
    <w:rsid w:val="00022549"/>
    <w:rsid w:val="00022D21"/>
    <w:rsid w:val="00022FAA"/>
    <w:rsid w:val="00023222"/>
    <w:rsid w:val="000232AE"/>
    <w:rsid w:val="00023BC7"/>
    <w:rsid w:val="000240AA"/>
    <w:rsid w:val="000243D5"/>
    <w:rsid w:val="0002440C"/>
    <w:rsid w:val="000244F0"/>
    <w:rsid w:val="00024785"/>
    <w:rsid w:val="00024D2A"/>
    <w:rsid w:val="000258C4"/>
    <w:rsid w:val="00025CE3"/>
    <w:rsid w:val="00026031"/>
    <w:rsid w:val="0002621A"/>
    <w:rsid w:val="00026695"/>
    <w:rsid w:val="00026B56"/>
    <w:rsid w:val="00026D62"/>
    <w:rsid w:val="00026DDC"/>
    <w:rsid w:val="00027104"/>
    <w:rsid w:val="000274F0"/>
    <w:rsid w:val="00030779"/>
    <w:rsid w:val="0003102A"/>
    <w:rsid w:val="000312B9"/>
    <w:rsid w:val="0003149A"/>
    <w:rsid w:val="000314F8"/>
    <w:rsid w:val="00031B2B"/>
    <w:rsid w:val="00031D90"/>
    <w:rsid w:val="00031FA7"/>
    <w:rsid w:val="00032170"/>
    <w:rsid w:val="00032791"/>
    <w:rsid w:val="0003312C"/>
    <w:rsid w:val="00033397"/>
    <w:rsid w:val="0003339D"/>
    <w:rsid w:val="00033C71"/>
    <w:rsid w:val="00034011"/>
    <w:rsid w:val="000347F9"/>
    <w:rsid w:val="00034C51"/>
    <w:rsid w:val="0003532A"/>
    <w:rsid w:val="000353B5"/>
    <w:rsid w:val="00037748"/>
    <w:rsid w:val="000377BE"/>
    <w:rsid w:val="00037B1F"/>
    <w:rsid w:val="00037FEF"/>
    <w:rsid w:val="00040095"/>
    <w:rsid w:val="0004017E"/>
    <w:rsid w:val="00040F84"/>
    <w:rsid w:val="00041547"/>
    <w:rsid w:val="00041614"/>
    <w:rsid w:val="00041C9C"/>
    <w:rsid w:val="000422EC"/>
    <w:rsid w:val="00042411"/>
    <w:rsid w:val="000429E9"/>
    <w:rsid w:val="00042FA6"/>
    <w:rsid w:val="00043516"/>
    <w:rsid w:val="00043A51"/>
    <w:rsid w:val="00043ED1"/>
    <w:rsid w:val="00044180"/>
    <w:rsid w:val="00044508"/>
    <w:rsid w:val="00044E19"/>
    <w:rsid w:val="0004520C"/>
    <w:rsid w:val="0004596F"/>
    <w:rsid w:val="00045ED7"/>
    <w:rsid w:val="000465C1"/>
    <w:rsid w:val="00046EBD"/>
    <w:rsid w:val="00046FCF"/>
    <w:rsid w:val="0004703B"/>
    <w:rsid w:val="000479E4"/>
    <w:rsid w:val="00047B49"/>
    <w:rsid w:val="00047EC5"/>
    <w:rsid w:val="000506B7"/>
    <w:rsid w:val="000509AD"/>
    <w:rsid w:val="00050D6C"/>
    <w:rsid w:val="00050E0D"/>
    <w:rsid w:val="000510A5"/>
    <w:rsid w:val="00051421"/>
    <w:rsid w:val="00051834"/>
    <w:rsid w:val="00051B37"/>
    <w:rsid w:val="00052E62"/>
    <w:rsid w:val="00052FF2"/>
    <w:rsid w:val="00053266"/>
    <w:rsid w:val="00053888"/>
    <w:rsid w:val="00053B45"/>
    <w:rsid w:val="00054227"/>
    <w:rsid w:val="00054A22"/>
    <w:rsid w:val="0005520B"/>
    <w:rsid w:val="000559D9"/>
    <w:rsid w:val="000563F4"/>
    <w:rsid w:val="0005644B"/>
    <w:rsid w:val="000564C6"/>
    <w:rsid w:val="000569A8"/>
    <w:rsid w:val="000571A1"/>
    <w:rsid w:val="0005779C"/>
    <w:rsid w:val="0006078D"/>
    <w:rsid w:val="000618AF"/>
    <w:rsid w:val="0006219E"/>
    <w:rsid w:val="000626C1"/>
    <w:rsid w:val="00063308"/>
    <w:rsid w:val="0006405F"/>
    <w:rsid w:val="0006409F"/>
    <w:rsid w:val="000646D0"/>
    <w:rsid w:val="00064701"/>
    <w:rsid w:val="00064B12"/>
    <w:rsid w:val="00064C30"/>
    <w:rsid w:val="000652D0"/>
    <w:rsid w:val="000655A6"/>
    <w:rsid w:val="0006566F"/>
    <w:rsid w:val="00065706"/>
    <w:rsid w:val="00065865"/>
    <w:rsid w:val="000663DC"/>
    <w:rsid w:val="00066934"/>
    <w:rsid w:val="00066D17"/>
    <w:rsid w:val="0006757F"/>
    <w:rsid w:val="0006781D"/>
    <w:rsid w:val="00067C33"/>
    <w:rsid w:val="00070133"/>
    <w:rsid w:val="00070149"/>
    <w:rsid w:val="00070B04"/>
    <w:rsid w:val="00071C2C"/>
    <w:rsid w:val="00071EFE"/>
    <w:rsid w:val="00071F20"/>
    <w:rsid w:val="00072004"/>
    <w:rsid w:val="00072067"/>
    <w:rsid w:val="00072EE8"/>
    <w:rsid w:val="00073833"/>
    <w:rsid w:val="00073C3A"/>
    <w:rsid w:val="000747C0"/>
    <w:rsid w:val="00074BEB"/>
    <w:rsid w:val="00074F61"/>
    <w:rsid w:val="00075745"/>
    <w:rsid w:val="00075D4D"/>
    <w:rsid w:val="0007605B"/>
    <w:rsid w:val="0007610C"/>
    <w:rsid w:val="000766F5"/>
    <w:rsid w:val="0007677A"/>
    <w:rsid w:val="0007678B"/>
    <w:rsid w:val="00076B23"/>
    <w:rsid w:val="00076B9A"/>
    <w:rsid w:val="0007787C"/>
    <w:rsid w:val="00080512"/>
    <w:rsid w:val="000809C6"/>
    <w:rsid w:val="0008233B"/>
    <w:rsid w:val="00082429"/>
    <w:rsid w:val="00082AE8"/>
    <w:rsid w:val="00082EA6"/>
    <w:rsid w:val="00082EE5"/>
    <w:rsid w:val="00083D3F"/>
    <w:rsid w:val="000840ED"/>
    <w:rsid w:val="000850DB"/>
    <w:rsid w:val="0008527C"/>
    <w:rsid w:val="00085C60"/>
    <w:rsid w:val="00085D44"/>
    <w:rsid w:val="0008625B"/>
    <w:rsid w:val="00086838"/>
    <w:rsid w:val="00087542"/>
    <w:rsid w:val="00087B32"/>
    <w:rsid w:val="00087E3F"/>
    <w:rsid w:val="00087ED6"/>
    <w:rsid w:val="00090A3B"/>
    <w:rsid w:val="000913CB"/>
    <w:rsid w:val="00091F62"/>
    <w:rsid w:val="0009256B"/>
    <w:rsid w:val="00092F12"/>
    <w:rsid w:val="00093DC1"/>
    <w:rsid w:val="000949EE"/>
    <w:rsid w:val="00094F15"/>
    <w:rsid w:val="00094FAB"/>
    <w:rsid w:val="000951AD"/>
    <w:rsid w:val="00095499"/>
    <w:rsid w:val="00095585"/>
    <w:rsid w:val="000958C6"/>
    <w:rsid w:val="00095BA7"/>
    <w:rsid w:val="00095DF0"/>
    <w:rsid w:val="00096226"/>
    <w:rsid w:val="00096660"/>
    <w:rsid w:val="000966B9"/>
    <w:rsid w:val="00096E16"/>
    <w:rsid w:val="00097493"/>
    <w:rsid w:val="00097CF5"/>
    <w:rsid w:val="00097E66"/>
    <w:rsid w:val="000A014A"/>
    <w:rsid w:val="000A0288"/>
    <w:rsid w:val="000A09B5"/>
    <w:rsid w:val="000A1342"/>
    <w:rsid w:val="000A148F"/>
    <w:rsid w:val="000A18AF"/>
    <w:rsid w:val="000A1FAA"/>
    <w:rsid w:val="000A24DE"/>
    <w:rsid w:val="000A2609"/>
    <w:rsid w:val="000A288E"/>
    <w:rsid w:val="000A2BB3"/>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0EE9"/>
    <w:rsid w:val="000B1241"/>
    <w:rsid w:val="000B138B"/>
    <w:rsid w:val="000B13B9"/>
    <w:rsid w:val="000B160D"/>
    <w:rsid w:val="000B1AC5"/>
    <w:rsid w:val="000B1C84"/>
    <w:rsid w:val="000B1E36"/>
    <w:rsid w:val="000B29CD"/>
    <w:rsid w:val="000B2AEF"/>
    <w:rsid w:val="000B354E"/>
    <w:rsid w:val="000B397B"/>
    <w:rsid w:val="000B3BE7"/>
    <w:rsid w:val="000B3CCC"/>
    <w:rsid w:val="000B448A"/>
    <w:rsid w:val="000B49C5"/>
    <w:rsid w:val="000B5030"/>
    <w:rsid w:val="000B541D"/>
    <w:rsid w:val="000B5F81"/>
    <w:rsid w:val="000B5FB3"/>
    <w:rsid w:val="000B6621"/>
    <w:rsid w:val="000B6AC7"/>
    <w:rsid w:val="000B6D8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D049F"/>
    <w:rsid w:val="000D04B1"/>
    <w:rsid w:val="000D0AEC"/>
    <w:rsid w:val="000D138D"/>
    <w:rsid w:val="000D1B54"/>
    <w:rsid w:val="000D2C97"/>
    <w:rsid w:val="000D2EAC"/>
    <w:rsid w:val="000D3EC1"/>
    <w:rsid w:val="000D425A"/>
    <w:rsid w:val="000D42C5"/>
    <w:rsid w:val="000D434E"/>
    <w:rsid w:val="000D45B0"/>
    <w:rsid w:val="000D45B1"/>
    <w:rsid w:val="000D4622"/>
    <w:rsid w:val="000D48E1"/>
    <w:rsid w:val="000D4BCF"/>
    <w:rsid w:val="000D5303"/>
    <w:rsid w:val="000D55C2"/>
    <w:rsid w:val="000D58AB"/>
    <w:rsid w:val="000D5908"/>
    <w:rsid w:val="000D5B51"/>
    <w:rsid w:val="000D5D09"/>
    <w:rsid w:val="000D6F3A"/>
    <w:rsid w:val="000D76D9"/>
    <w:rsid w:val="000D7767"/>
    <w:rsid w:val="000D7C25"/>
    <w:rsid w:val="000D7FF7"/>
    <w:rsid w:val="000E06A9"/>
    <w:rsid w:val="000E0733"/>
    <w:rsid w:val="000E0818"/>
    <w:rsid w:val="000E0C49"/>
    <w:rsid w:val="000E1550"/>
    <w:rsid w:val="000E1880"/>
    <w:rsid w:val="000E201E"/>
    <w:rsid w:val="000E2611"/>
    <w:rsid w:val="000E2858"/>
    <w:rsid w:val="000E2B8D"/>
    <w:rsid w:val="000E3C87"/>
    <w:rsid w:val="000E4210"/>
    <w:rsid w:val="000E4866"/>
    <w:rsid w:val="000E4A2C"/>
    <w:rsid w:val="000E54AF"/>
    <w:rsid w:val="000E5632"/>
    <w:rsid w:val="000E5A20"/>
    <w:rsid w:val="000E62FE"/>
    <w:rsid w:val="000E674A"/>
    <w:rsid w:val="000E7381"/>
    <w:rsid w:val="000E745F"/>
    <w:rsid w:val="000E75F5"/>
    <w:rsid w:val="000E7C0A"/>
    <w:rsid w:val="000F0768"/>
    <w:rsid w:val="000F0A64"/>
    <w:rsid w:val="000F0AF8"/>
    <w:rsid w:val="000F1336"/>
    <w:rsid w:val="000F14D9"/>
    <w:rsid w:val="000F14FE"/>
    <w:rsid w:val="000F1699"/>
    <w:rsid w:val="000F17C3"/>
    <w:rsid w:val="000F1FD3"/>
    <w:rsid w:val="000F256E"/>
    <w:rsid w:val="000F276E"/>
    <w:rsid w:val="000F2DB2"/>
    <w:rsid w:val="000F353C"/>
    <w:rsid w:val="000F356E"/>
    <w:rsid w:val="000F3762"/>
    <w:rsid w:val="000F3B30"/>
    <w:rsid w:val="000F3B4F"/>
    <w:rsid w:val="000F3D03"/>
    <w:rsid w:val="000F41E2"/>
    <w:rsid w:val="000F433E"/>
    <w:rsid w:val="000F4933"/>
    <w:rsid w:val="000F4969"/>
    <w:rsid w:val="000F4CCF"/>
    <w:rsid w:val="000F52CF"/>
    <w:rsid w:val="000F5DF1"/>
    <w:rsid w:val="000F63DF"/>
    <w:rsid w:val="000F71C8"/>
    <w:rsid w:val="000F7971"/>
    <w:rsid w:val="001002E1"/>
    <w:rsid w:val="00100D63"/>
    <w:rsid w:val="001013FD"/>
    <w:rsid w:val="00101BA8"/>
    <w:rsid w:val="00101F50"/>
    <w:rsid w:val="0010203A"/>
    <w:rsid w:val="00102731"/>
    <w:rsid w:val="001030DF"/>
    <w:rsid w:val="00103138"/>
    <w:rsid w:val="00103566"/>
    <w:rsid w:val="0010371E"/>
    <w:rsid w:val="00103FEB"/>
    <w:rsid w:val="00104030"/>
    <w:rsid w:val="0010465F"/>
    <w:rsid w:val="001048CC"/>
    <w:rsid w:val="001048D2"/>
    <w:rsid w:val="00104953"/>
    <w:rsid w:val="00105F55"/>
    <w:rsid w:val="00106196"/>
    <w:rsid w:val="00106DCD"/>
    <w:rsid w:val="00106EBE"/>
    <w:rsid w:val="001074AB"/>
    <w:rsid w:val="00107DFB"/>
    <w:rsid w:val="00110292"/>
    <w:rsid w:val="001107BE"/>
    <w:rsid w:val="00110E13"/>
    <w:rsid w:val="00111242"/>
    <w:rsid w:val="0011181B"/>
    <w:rsid w:val="001118EA"/>
    <w:rsid w:val="00111D46"/>
    <w:rsid w:val="001120FA"/>
    <w:rsid w:val="001128FE"/>
    <w:rsid w:val="00112CCA"/>
    <w:rsid w:val="0011301A"/>
    <w:rsid w:val="0011350E"/>
    <w:rsid w:val="00113B0E"/>
    <w:rsid w:val="001140E6"/>
    <w:rsid w:val="00115186"/>
    <w:rsid w:val="00115A64"/>
    <w:rsid w:val="00115CE0"/>
    <w:rsid w:val="00115F32"/>
    <w:rsid w:val="00116042"/>
    <w:rsid w:val="00117133"/>
    <w:rsid w:val="0011737E"/>
    <w:rsid w:val="001174A5"/>
    <w:rsid w:val="00117848"/>
    <w:rsid w:val="00117D24"/>
    <w:rsid w:val="00117D80"/>
    <w:rsid w:val="00117EEA"/>
    <w:rsid w:val="00120083"/>
    <w:rsid w:val="00120432"/>
    <w:rsid w:val="001209D1"/>
    <w:rsid w:val="00120C04"/>
    <w:rsid w:val="001221F3"/>
    <w:rsid w:val="00122289"/>
    <w:rsid w:val="001227CE"/>
    <w:rsid w:val="00122B17"/>
    <w:rsid w:val="001235FA"/>
    <w:rsid w:val="00123A21"/>
    <w:rsid w:val="00123D33"/>
    <w:rsid w:val="00124CAE"/>
    <w:rsid w:val="00124D17"/>
    <w:rsid w:val="0012504E"/>
    <w:rsid w:val="001255F1"/>
    <w:rsid w:val="00125F54"/>
    <w:rsid w:val="001263B3"/>
    <w:rsid w:val="001264C4"/>
    <w:rsid w:val="00126E13"/>
    <w:rsid w:val="00127053"/>
    <w:rsid w:val="001305D9"/>
    <w:rsid w:val="001306CE"/>
    <w:rsid w:val="001309E5"/>
    <w:rsid w:val="00130B90"/>
    <w:rsid w:val="00130BA5"/>
    <w:rsid w:val="00130E04"/>
    <w:rsid w:val="00131102"/>
    <w:rsid w:val="001320AB"/>
    <w:rsid w:val="00132423"/>
    <w:rsid w:val="0013267C"/>
    <w:rsid w:val="00133E2C"/>
    <w:rsid w:val="00134031"/>
    <w:rsid w:val="0013448F"/>
    <w:rsid w:val="00134692"/>
    <w:rsid w:val="00134A51"/>
    <w:rsid w:val="00134EB7"/>
    <w:rsid w:val="0013500C"/>
    <w:rsid w:val="00135C14"/>
    <w:rsid w:val="00135C42"/>
    <w:rsid w:val="00135D84"/>
    <w:rsid w:val="00136B57"/>
    <w:rsid w:val="00137692"/>
    <w:rsid w:val="00137704"/>
    <w:rsid w:val="0013780C"/>
    <w:rsid w:val="00137A12"/>
    <w:rsid w:val="00137B82"/>
    <w:rsid w:val="00140601"/>
    <w:rsid w:val="00140CAA"/>
    <w:rsid w:val="001411F4"/>
    <w:rsid w:val="0014154A"/>
    <w:rsid w:val="00141CB2"/>
    <w:rsid w:val="00142281"/>
    <w:rsid w:val="00142B94"/>
    <w:rsid w:val="00143760"/>
    <w:rsid w:val="00143E2F"/>
    <w:rsid w:val="001445F7"/>
    <w:rsid w:val="0014473D"/>
    <w:rsid w:val="00145685"/>
    <w:rsid w:val="001459DE"/>
    <w:rsid w:val="00145D6E"/>
    <w:rsid w:val="00146072"/>
    <w:rsid w:val="00147906"/>
    <w:rsid w:val="00147AB7"/>
    <w:rsid w:val="00147B12"/>
    <w:rsid w:val="00147BFE"/>
    <w:rsid w:val="00147EC0"/>
    <w:rsid w:val="00150EEE"/>
    <w:rsid w:val="001513A7"/>
    <w:rsid w:val="001515B7"/>
    <w:rsid w:val="00151BE1"/>
    <w:rsid w:val="00152EE2"/>
    <w:rsid w:val="0015349D"/>
    <w:rsid w:val="00153BFB"/>
    <w:rsid w:val="00154177"/>
    <w:rsid w:val="00154442"/>
    <w:rsid w:val="001552B9"/>
    <w:rsid w:val="00156403"/>
    <w:rsid w:val="00156574"/>
    <w:rsid w:val="00156B51"/>
    <w:rsid w:val="00157118"/>
    <w:rsid w:val="001574C7"/>
    <w:rsid w:val="00157BEA"/>
    <w:rsid w:val="00157E2B"/>
    <w:rsid w:val="00157F38"/>
    <w:rsid w:val="00157FBA"/>
    <w:rsid w:val="001609A2"/>
    <w:rsid w:val="001609EF"/>
    <w:rsid w:val="001610CE"/>
    <w:rsid w:val="001628C0"/>
    <w:rsid w:val="001628DE"/>
    <w:rsid w:val="00162C0F"/>
    <w:rsid w:val="0016399D"/>
    <w:rsid w:val="00163DCB"/>
    <w:rsid w:val="00163FCE"/>
    <w:rsid w:val="00164170"/>
    <w:rsid w:val="0016464F"/>
    <w:rsid w:val="00164958"/>
    <w:rsid w:val="001650F9"/>
    <w:rsid w:val="001651B4"/>
    <w:rsid w:val="0016525A"/>
    <w:rsid w:val="001653C9"/>
    <w:rsid w:val="00165659"/>
    <w:rsid w:val="00165B55"/>
    <w:rsid w:val="00165EAB"/>
    <w:rsid w:val="001666A9"/>
    <w:rsid w:val="00166EE2"/>
    <w:rsid w:val="00167104"/>
    <w:rsid w:val="0016742C"/>
    <w:rsid w:val="00170038"/>
    <w:rsid w:val="001713F6"/>
    <w:rsid w:val="001714B3"/>
    <w:rsid w:val="00171568"/>
    <w:rsid w:val="00171A4B"/>
    <w:rsid w:val="00171D4A"/>
    <w:rsid w:val="00171ED0"/>
    <w:rsid w:val="00171F11"/>
    <w:rsid w:val="0017253A"/>
    <w:rsid w:val="00172A9E"/>
    <w:rsid w:val="00173DB7"/>
    <w:rsid w:val="00173EA7"/>
    <w:rsid w:val="00174A7D"/>
    <w:rsid w:val="00174D5D"/>
    <w:rsid w:val="00174EC1"/>
    <w:rsid w:val="00175F21"/>
    <w:rsid w:val="001761C6"/>
    <w:rsid w:val="0017665A"/>
    <w:rsid w:val="0017681D"/>
    <w:rsid w:val="00176833"/>
    <w:rsid w:val="00176B57"/>
    <w:rsid w:val="00176CE0"/>
    <w:rsid w:val="00177237"/>
    <w:rsid w:val="001774FD"/>
    <w:rsid w:val="00177BCF"/>
    <w:rsid w:val="00177BE6"/>
    <w:rsid w:val="00177DC0"/>
    <w:rsid w:val="00180329"/>
    <w:rsid w:val="001807CD"/>
    <w:rsid w:val="00180EC8"/>
    <w:rsid w:val="001810A2"/>
    <w:rsid w:val="00181539"/>
    <w:rsid w:val="00182690"/>
    <w:rsid w:val="00183A19"/>
    <w:rsid w:val="00183D6E"/>
    <w:rsid w:val="00184458"/>
    <w:rsid w:val="00185485"/>
    <w:rsid w:val="0018581F"/>
    <w:rsid w:val="001859A1"/>
    <w:rsid w:val="00186586"/>
    <w:rsid w:val="00186DDC"/>
    <w:rsid w:val="00186F92"/>
    <w:rsid w:val="00187273"/>
    <w:rsid w:val="001878D5"/>
    <w:rsid w:val="0018790F"/>
    <w:rsid w:val="001906B3"/>
    <w:rsid w:val="0019097A"/>
    <w:rsid w:val="0019101B"/>
    <w:rsid w:val="001911A2"/>
    <w:rsid w:val="001912B1"/>
    <w:rsid w:val="001915C8"/>
    <w:rsid w:val="00191617"/>
    <w:rsid w:val="00191702"/>
    <w:rsid w:val="001924F4"/>
    <w:rsid w:val="0019251A"/>
    <w:rsid w:val="00192785"/>
    <w:rsid w:val="00193A82"/>
    <w:rsid w:val="00193BFD"/>
    <w:rsid w:val="001942EA"/>
    <w:rsid w:val="001943E4"/>
    <w:rsid w:val="0019472D"/>
    <w:rsid w:val="00194D6A"/>
    <w:rsid w:val="00194DFB"/>
    <w:rsid w:val="001964F9"/>
    <w:rsid w:val="0019694C"/>
    <w:rsid w:val="001971A7"/>
    <w:rsid w:val="0019780B"/>
    <w:rsid w:val="00197903"/>
    <w:rsid w:val="00197BAA"/>
    <w:rsid w:val="001A009C"/>
    <w:rsid w:val="001A00B6"/>
    <w:rsid w:val="001A0CD6"/>
    <w:rsid w:val="001A13DA"/>
    <w:rsid w:val="001A1891"/>
    <w:rsid w:val="001A1F92"/>
    <w:rsid w:val="001A20C1"/>
    <w:rsid w:val="001A2161"/>
    <w:rsid w:val="001A2363"/>
    <w:rsid w:val="001A270A"/>
    <w:rsid w:val="001A279D"/>
    <w:rsid w:val="001A2B46"/>
    <w:rsid w:val="001A3A1F"/>
    <w:rsid w:val="001A40D6"/>
    <w:rsid w:val="001A42BD"/>
    <w:rsid w:val="001A52DD"/>
    <w:rsid w:val="001A5B8C"/>
    <w:rsid w:val="001A5C2D"/>
    <w:rsid w:val="001A5C64"/>
    <w:rsid w:val="001A6C29"/>
    <w:rsid w:val="001A6DDC"/>
    <w:rsid w:val="001A6F66"/>
    <w:rsid w:val="001A7EA9"/>
    <w:rsid w:val="001B03BF"/>
    <w:rsid w:val="001B1744"/>
    <w:rsid w:val="001B184D"/>
    <w:rsid w:val="001B278A"/>
    <w:rsid w:val="001B2AA2"/>
    <w:rsid w:val="001B3506"/>
    <w:rsid w:val="001B3A97"/>
    <w:rsid w:val="001B4283"/>
    <w:rsid w:val="001B4570"/>
    <w:rsid w:val="001B540F"/>
    <w:rsid w:val="001B569E"/>
    <w:rsid w:val="001B624E"/>
    <w:rsid w:val="001B6333"/>
    <w:rsid w:val="001B7C81"/>
    <w:rsid w:val="001C07CA"/>
    <w:rsid w:val="001C0926"/>
    <w:rsid w:val="001C14C3"/>
    <w:rsid w:val="001C17A5"/>
    <w:rsid w:val="001C2678"/>
    <w:rsid w:val="001C271D"/>
    <w:rsid w:val="001C27BF"/>
    <w:rsid w:val="001C27EE"/>
    <w:rsid w:val="001C2E3C"/>
    <w:rsid w:val="001C4616"/>
    <w:rsid w:val="001C4ECD"/>
    <w:rsid w:val="001C551C"/>
    <w:rsid w:val="001C555C"/>
    <w:rsid w:val="001C55FE"/>
    <w:rsid w:val="001C695A"/>
    <w:rsid w:val="001C6CE9"/>
    <w:rsid w:val="001C6F4B"/>
    <w:rsid w:val="001C7AEF"/>
    <w:rsid w:val="001C7F41"/>
    <w:rsid w:val="001D02C2"/>
    <w:rsid w:val="001D04EE"/>
    <w:rsid w:val="001D082B"/>
    <w:rsid w:val="001D1554"/>
    <w:rsid w:val="001D187E"/>
    <w:rsid w:val="001D1C73"/>
    <w:rsid w:val="001D1FC1"/>
    <w:rsid w:val="001D2130"/>
    <w:rsid w:val="001D32C7"/>
    <w:rsid w:val="001D35FC"/>
    <w:rsid w:val="001D38FD"/>
    <w:rsid w:val="001D4020"/>
    <w:rsid w:val="001D4541"/>
    <w:rsid w:val="001D4955"/>
    <w:rsid w:val="001D49EB"/>
    <w:rsid w:val="001D53EE"/>
    <w:rsid w:val="001D556E"/>
    <w:rsid w:val="001D5662"/>
    <w:rsid w:val="001D5A5B"/>
    <w:rsid w:val="001D62B7"/>
    <w:rsid w:val="001D637E"/>
    <w:rsid w:val="001D63BA"/>
    <w:rsid w:val="001D677E"/>
    <w:rsid w:val="001D73E3"/>
    <w:rsid w:val="001D7CB6"/>
    <w:rsid w:val="001E0346"/>
    <w:rsid w:val="001E0758"/>
    <w:rsid w:val="001E0D82"/>
    <w:rsid w:val="001E1710"/>
    <w:rsid w:val="001E1886"/>
    <w:rsid w:val="001E1EC4"/>
    <w:rsid w:val="001E24AF"/>
    <w:rsid w:val="001E3779"/>
    <w:rsid w:val="001E3D11"/>
    <w:rsid w:val="001E4020"/>
    <w:rsid w:val="001E4BAB"/>
    <w:rsid w:val="001E4FD0"/>
    <w:rsid w:val="001E512E"/>
    <w:rsid w:val="001E5D82"/>
    <w:rsid w:val="001E6261"/>
    <w:rsid w:val="001E6631"/>
    <w:rsid w:val="001E69FA"/>
    <w:rsid w:val="001E6A7B"/>
    <w:rsid w:val="001E734E"/>
    <w:rsid w:val="001E7FCA"/>
    <w:rsid w:val="001F010C"/>
    <w:rsid w:val="001F0AA0"/>
    <w:rsid w:val="001F0ECB"/>
    <w:rsid w:val="001F1042"/>
    <w:rsid w:val="001F168B"/>
    <w:rsid w:val="001F25B2"/>
    <w:rsid w:val="001F3B9C"/>
    <w:rsid w:val="001F3D41"/>
    <w:rsid w:val="001F3E74"/>
    <w:rsid w:val="001F3F30"/>
    <w:rsid w:val="001F4504"/>
    <w:rsid w:val="001F569A"/>
    <w:rsid w:val="001F5CCE"/>
    <w:rsid w:val="001F61AD"/>
    <w:rsid w:val="001F6EBF"/>
    <w:rsid w:val="001F757B"/>
    <w:rsid w:val="001F77F3"/>
    <w:rsid w:val="001F7AEF"/>
    <w:rsid w:val="00200299"/>
    <w:rsid w:val="002007FC"/>
    <w:rsid w:val="00200876"/>
    <w:rsid w:val="00200CD2"/>
    <w:rsid w:val="002015F2"/>
    <w:rsid w:val="00201794"/>
    <w:rsid w:val="002021E0"/>
    <w:rsid w:val="00203734"/>
    <w:rsid w:val="00203861"/>
    <w:rsid w:val="002048D7"/>
    <w:rsid w:val="00205615"/>
    <w:rsid w:val="00205ED5"/>
    <w:rsid w:val="00205F37"/>
    <w:rsid w:val="00206D75"/>
    <w:rsid w:val="00206E13"/>
    <w:rsid w:val="0020716A"/>
    <w:rsid w:val="00207B2F"/>
    <w:rsid w:val="002106B0"/>
    <w:rsid w:val="00210B26"/>
    <w:rsid w:val="0021108F"/>
    <w:rsid w:val="002115C7"/>
    <w:rsid w:val="00212194"/>
    <w:rsid w:val="002121EB"/>
    <w:rsid w:val="0021226A"/>
    <w:rsid w:val="00212748"/>
    <w:rsid w:val="002127B8"/>
    <w:rsid w:val="00212AFB"/>
    <w:rsid w:val="00212CA8"/>
    <w:rsid w:val="00213275"/>
    <w:rsid w:val="0021552C"/>
    <w:rsid w:val="00215796"/>
    <w:rsid w:val="0021599B"/>
    <w:rsid w:val="0021617D"/>
    <w:rsid w:val="00216768"/>
    <w:rsid w:val="00216D1C"/>
    <w:rsid w:val="00216EA1"/>
    <w:rsid w:val="00216F88"/>
    <w:rsid w:val="0021729E"/>
    <w:rsid w:val="00217488"/>
    <w:rsid w:val="002175AB"/>
    <w:rsid w:val="00217D7C"/>
    <w:rsid w:val="00217E90"/>
    <w:rsid w:val="002200D9"/>
    <w:rsid w:val="00220B20"/>
    <w:rsid w:val="00220B56"/>
    <w:rsid w:val="00220D08"/>
    <w:rsid w:val="00222580"/>
    <w:rsid w:val="00223177"/>
    <w:rsid w:val="002231B4"/>
    <w:rsid w:val="00224266"/>
    <w:rsid w:val="00224556"/>
    <w:rsid w:val="002246AE"/>
    <w:rsid w:val="002248E3"/>
    <w:rsid w:val="00224B34"/>
    <w:rsid w:val="00224DF4"/>
    <w:rsid w:val="002250B2"/>
    <w:rsid w:val="00225289"/>
    <w:rsid w:val="002254B1"/>
    <w:rsid w:val="002258A1"/>
    <w:rsid w:val="00227187"/>
    <w:rsid w:val="0022725E"/>
    <w:rsid w:val="0022777B"/>
    <w:rsid w:val="00227FE5"/>
    <w:rsid w:val="002302BD"/>
    <w:rsid w:val="002305F0"/>
    <w:rsid w:val="00230A52"/>
    <w:rsid w:val="00231C7C"/>
    <w:rsid w:val="00231F24"/>
    <w:rsid w:val="00232A84"/>
    <w:rsid w:val="00232C33"/>
    <w:rsid w:val="00232D4A"/>
    <w:rsid w:val="0023371C"/>
    <w:rsid w:val="00234414"/>
    <w:rsid w:val="002347A2"/>
    <w:rsid w:val="00234847"/>
    <w:rsid w:val="00235025"/>
    <w:rsid w:val="0023527C"/>
    <w:rsid w:val="002358E0"/>
    <w:rsid w:val="00235EC5"/>
    <w:rsid w:val="00236007"/>
    <w:rsid w:val="00236329"/>
    <w:rsid w:val="00236490"/>
    <w:rsid w:val="00236894"/>
    <w:rsid w:val="00236B1D"/>
    <w:rsid w:val="00236B59"/>
    <w:rsid w:val="00237759"/>
    <w:rsid w:val="002378EC"/>
    <w:rsid w:val="00237E48"/>
    <w:rsid w:val="002414D2"/>
    <w:rsid w:val="00241C87"/>
    <w:rsid w:val="00241FAE"/>
    <w:rsid w:val="00241FEA"/>
    <w:rsid w:val="00242800"/>
    <w:rsid w:val="00242F2F"/>
    <w:rsid w:val="00243818"/>
    <w:rsid w:val="00243A62"/>
    <w:rsid w:val="00243C89"/>
    <w:rsid w:val="00243DA0"/>
    <w:rsid w:val="002440BE"/>
    <w:rsid w:val="0024490C"/>
    <w:rsid w:val="00244BA5"/>
    <w:rsid w:val="00245759"/>
    <w:rsid w:val="00245E90"/>
    <w:rsid w:val="00247104"/>
    <w:rsid w:val="00247872"/>
    <w:rsid w:val="002479F4"/>
    <w:rsid w:val="00247C58"/>
    <w:rsid w:val="002505F2"/>
    <w:rsid w:val="00251897"/>
    <w:rsid w:val="00251D18"/>
    <w:rsid w:val="00251F32"/>
    <w:rsid w:val="0025232D"/>
    <w:rsid w:val="00253367"/>
    <w:rsid w:val="00253583"/>
    <w:rsid w:val="00254BBC"/>
    <w:rsid w:val="00254BDA"/>
    <w:rsid w:val="00254FC2"/>
    <w:rsid w:val="00255271"/>
    <w:rsid w:val="002555FE"/>
    <w:rsid w:val="00255A52"/>
    <w:rsid w:val="00255EF3"/>
    <w:rsid w:val="00256206"/>
    <w:rsid w:val="00256C24"/>
    <w:rsid w:val="002572F5"/>
    <w:rsid w:val="002574D9"/>
    <w:rsid w:val="002576D4"/>
    <w:rsid w:val="00257D68"/>
    <w:rsid w:val="0026024E"/>
    <w:rsid w:val="00260276"/>
    <w:rsid w:val="002604F7"/>
    <w:rsid w:val="00260841"/>
    <w:rsid w:val="00260923"/>
    <w:rsid w:val="00261186"/>
    <w:rsid w:val="0026199B"/>
    <w:rsid w:val="00261F28"/>
    <w:rsid w:val="0026244A"/>
    <w:rsid w:val="00262517"/>
    <w:rsid w:val="002625BA"/>
    <w:rsid w:val="00262A2A"/>
    <w:rsid w:val="00262AC2"/>
    <w:rsid w:val="00262AE9"/>
    <w:rsid w:val="00262EBE"/>
    <w:rsid w:val="00263092"/>
    <w:rsid w:val="00263606"/>
    <w:rsid w:val="002636D8"/>
    <w:rsid w:val="00263DCC"/>
    <w:rsid w:val="00263FAE"/>
    <w:rsid w:val="00264261"/>
    <w:rsid w:val="002643FB"/>
    <w:rsid w:val="00265057"/>
    <w:rsid w:val="002654B8"/>
    <w:rsid w:val="0026554D"/>
    <w:rsid w:val="002656A0"/>
    <w:rsid w:val="00265E4B"/>
    <w:rsid w:val="00265EBE"/>
    <w:rsid w:val="0026643A"/>
    <w:rsid w:val="0026647C"/>
    <w:rsid w:val="00266A96"/>
    <w:rsid w:val="00267944"/>
    <w:rsid w:val="0026795D"/>
    <w:rsid w:val="00267D1E"/>
    <w:rsid w:val="00270478"/>
    <w:rsid w:val="00270918"/>
    <w:rsid w:val="00270D85"/>
    <w:rsid w:val="002711E6"/>
    <w:rsid w:val="00271B5D"/>
    <w:rsid w:val="00271D24"/>
    <w:rsid w:val="00271E36"/>
    <w:rsid w:val="00273451"/>
    <w:rsid w:val="00273689"/>
    <w:rsid w:val="0027368F"/>
    <w:rsid w:val="0027378C"/>
    <w:rsid w:val="00273AD0"/>
    <w:rsid w:val="002742DF"/>
    <w:rsid w:val="002745AE"/>
    <w:rsid w:val="002749D3"/>
    <w:rsid w:val="00275F8A"/>
    <w:rsid w:val="00276AF6"/>
    <w:rsid w:val="00276B1D"/>
    <w:rsid w:val="00276C5B"/>
    <w:rsid w:val="00276CA6"/>
    <w:rsid w:val="0027758E"/>
    <w:rsid w:val="002779E2"/>
    <w:rsid w:val="00277A16"/>
    <w:rsid w:val="00277C0D"/>
    <w:rsid w:val="00277F9E"/>
    <w:rsid w:val="0028059F"/>
    <w:rsid w:val="00280B71"/>
    <w:rsid w:val="002810B3"/>
    <w:rsid w:val="00281AE4"/>
    <w:rsid w:val="002826BE"/>
    <w:rsid w:val="0028285A"/>
    <w:rsid w:val="00282FC3"/>
    <w:rsid w:val="0028320F"/>
    <w:rsid w:val="0028333C"/>
    <w:rsid w:val="002855B8"/>
    <w:rsid w:val="002865EF"/>
    <w:rsid w:val="00286EBA"/>
    <w:rsid w:val="00287298"/>
    <w:rsid w:val="002874E6"/>
    <w:rsid w:val="00287BA0"/>
    <w:rsid w:val="00290030"/>
    <w:rsid w:val="002900B5"/>
    <w:rsid w:val="002902C5"/>
    <w:rsid w:val="0029031F"/>
    <w:rsid w:val="0029034F"/>
    <w:rsid w:val="00290C6D"/>
    <w:rsid w:val="00290E58"/>
    <w:rsid w:val="00291390"/>
    <w:rsid w:val="0029153B"/>
    <w:rsid w:val="00291CDA"/>
    <w:rsid w:val="00292E1B"/>
    <w:rsid w:val="002932F6"/>
    <w:rsid w:val="0029379B"/>
    <w:rsid w:val="00293D5D"/>
    <w:rsid w:val="00293E23"/>
    <w:rsid w:val="002944D5"/>
    <w:rsid w:val="00294AE4"/>
    <w:rsid w:val="00294F34"/>
    <w:rsid w:val="0029588E"/>
    <w:rsid w:val="00295BA8"/>
    <w:rsid w:val="002962EC"/>
    <w:rsid w:val="00296535"/>
    <w:rsid w:val="00296EB8"/>
    <w:rsid w:val="00296F95"/>
    <w:rsid w:val="002976C6"/>
    <w:rsid w:val="002A016C"/>
    <w:rsid w:val="002A06A5"/>
    <w:rsid w:val="002A0733"/>
    <w:rsid w:val="002A0AD7"/>
    <w:rsid w:val="002A0B0A"/>
    <w:rsid w:val="002A0F01"/>
    <w:rsid w:val="002A1BC0"/>
    <w:rsid w:val="002A1C62"/>
    <w:rsid w:val="002A1E37"/>
    <w:rsid w:val="002A2D1E"/>
    <w:rsid w:val="002A2FF3"/>
    <w:rsid w:val="002A3081"/>
    <w:rsid w:val="002A30C6"/>
    <w:rsid w:val="002A3AAF"/>
    <w:rsid w:val="002A4014"/>
    <w:rsid w:val="002A44EB"/>
    <w:rsid w:val="002A4761"/>
    <w:rsid w:val="002A47D6"/>
    <w:rsid w:val="002A4AA8"/>
    <w:rsid w:val="002A57F6"/>
    <w:rsid w:val="002A5E05"/>
    <w:rsid w:val="002B0383"/>
    <w:rsid w:val="002B0786"/>
    <w:rsid w:val="002B0CE7"/>
    <w:rsid w:val="002B0E6A"/>
    <w:rsid w:val="002B1534"/>
    <w:rsid w:val="002B1CFE"/>
    <w:rsid w:val="002B1F08"/>
    <w:rsid w:val="002B2A30"/>
    <w:rsid w:val="002B2E39"/>
    <w:rsid w:val="002B3D48"/>
    <w:rsid w:val="002B3F77"/>
    <w:rsid w:val="002B42AE"/>
    <w:rsid w:val="002B4741"/>
    <w:rsid w:val="002B4F8F"/>
    <w:rsid w:val="002B56A0"/>
    <w:rsid w:val="002B5D14"/>
    <w:rsid w:val="002B63E5"/>
    <w:rsid w:val="002B6AE5"/>
    <w:rsid w:val="002B6C0E"/>
    <w:rsid w:val="002B71CF"/>
    <w:rsid w:val="002B7315"/>
    <w:rsid w:val="002B7A66"/>
    <w:rsid w:val="002B7FC6"/>
    <w:rsid w:val="002C0393"/>
    <w:rsid w:val="002C040B"/>
    <w:rsid w:val="002C0552"/>
    <w:rsid w:val="002C0798"/>
    <w:rsid w:val="002C09B6"/>
    <w:rsid w:val="002C0A16"/>
    <w:rsid w:val="002C0A5C"/>
    <w:rsid w:val="002C11F8"/>
    <w:rsid w:val="002C1927"/>
    <w:rsid w:val="002C1A67"/>
    <w:rsid w:val="002C1AE2"/>
    <w:rsid w:val="002C1B0D"/>
    <w:rsid w:val="002C1D97"/>
    <w:rsid w:val="002C267D"/>
    <w:rsid w:val="002C2930"/>
    <w:rsid w:val="002C2DFD"/>
    <w:rsid w:val="002C3162"/>
    <w:rsid w:val="002C37EF"/>
    <w:rsid w:val="002C42BD"/>
    <w:rsid w:val="002C4E3E"/>
    <w:rsid w:val="002C5821"/>
    <w:rsid w:val="002C5F8D"/>
    <w:rsid w:val="002C5FED"/>
    <w:rsid w:val="002C6260"/>
    <w:rsid w:val="002C664D"/>
    <w:rsid w:val="002C679B"/>
    <w:rsid w:val="002C6882"/>
    <w:rsid w:val="002C7132"/>
    <w:rsid w:val="002D0259"/>
    <w:rsid w:val="002D19F3"/>
    <w:rsid w:val="002D1FAD"/>
    <w:rsid w:val="002D2210"/>
    <w:rsid w:val="002D2EB3"/>
    <w:rsid w:val="002D35A7"/>
    <w:rsid w:val="002D3D08"/>
    <w:rsid w:val="002D40A6"/>
    <w:rsid w:val="002D44A8"/>
    <w:rsid w:val="002D45E2"/>
    <w:rsid w:val="002D465B"/>
    <w:rsid w:val="002D47D0"/>
    <w:rsid w:val="002D4B5B"/>
    <w:rsid w:val="002D514A"/>
    <w:rsid w:val="002D53D8"/>
    <w:rsid w:val="002D5819"/>
    <w:rsid w:val="002D58CF"/>
    <w:rsid w:val="002D5909"/>
    <w:rsid w:val="002D5CBE"/>
    <w:rsid w:val="002D6263"/>
    <w:rsid w:val="002D6378"/>
    <w:rsid w:val="002D69A3"/>
    <w:rsid w:val="002D6E2C"/>
    <w:rsid w:val="002D70A6"/>
    <w:rsid w:val="002D7405"/>
    <w:rsid w:val="002D7C0F"/>
    <w:rsid w:val="002D7DFC"/>
    <w:rsid w:val="002E038D"/>
    <w:rsid w:val="002E047D"/>
    <w:rsid w:val="002E07C8"/>
    <w:rsid w:val="002E0932"/>
    <w:rsid w:val="002E093C"/>
    <w:rsid w:val="002E0AE2"/>
    <w:rsid w:val="002E0E08"/>
    <w:rsid w:val="002E1400"/>
    <w:rsid w:val="002E1488"/>
    <w:rsid w:val="002E14B0"/>
    <w:rsid w:val="002E167D"/>
    <w:rsid w:val="002E1CEE"/>
    <w:rsid w:val="002E1E49"/>
    <w:rsid w:val="002E2EBE"/>
    <w:rsid w:val="002E3574"/>
    <w:rsid w:val="002E3684"/>
    <w:rsid w:val="002E3B61"/>
    <w:rsid w:val="002E3F2D"/>
    <w:rsid w:val="002E4051"/>
    <w:rsid w:val="002E409B"/>
    <w:rsid w:val="002E4456"/>
    <w:rsid w:val="002E44EB"/>
    <w:rsid w:val="002E4BD0"/>
    <w:rsid w:val="002E580A"/>
    <w:rsid w:val="002E59EB"/>
    <w:rsid w:val="002E6549"/>
    <w:rsid w:val="002E713F"/>
    <w:rsid w:val="002F01EE"/>
    <w:rsid w:val="002F0413"/>
    <w:rsid w:val="002F1077"/>
    <w:rsid w:val="002F182F"/>
    <w:rsid w:val="002F19F8"/>
    <w:rsid w:val="002F22E7"/>
    <w:rsid w:val="002F365C"/>
    <w:rsid w:val="002F3710"/>
    <w:rsid w:val="002F3ED8"/>
    <w:rsid w:val="002F4798"/>
    <w:rsid w:val="002F4AB3"/>
    <w:rsid w:val="002F4B4B"/>
    <w:rsid w:val="002F4BCF"/>
    <w:rsid w:val="002F4F40"/>
    <w:rsid w:val="002F59E1"/>
    <w:rsid w:val="002F59F3"/>
    <w:rsid w:val="002F69EE"/>
    <w:rsid w:val="002F6AE9"/>
    <w:rsid w:val="002F7251"/>
    <w:rsid w:val="002F7318"/>
    <w:rsid w:val="002F75CC"/>
    <w:rsid w:val="002F7A1B"/>
    <w:rsid w:val="0030020E"/>
    <w:rsid w:val="0030039B"/>
    <w:rsid w:val="00301FC8"/>
    <w:rsid w:val="003036DE"/>
    <w:rsid w:val="00303F98"/>
    <w:rsid w:val="003040C4"/>
    <w:rsid w:val="00304939"/>
    <w:rsid w:val="00304E85"/>
    <w:rsid w:val="003060D2"/>
    <w:rsid w:val="00306684"/>
    <w:rsid w:val="00306B87"/>
    <w:rsid w:val="0030725D"/>
    <w:rsid w:val="003076AF"/>
    <w:rsid w:val="00307A28"/>
    <w:rsid w:val="0031126D"/>
    <w:rsid w:val="00311304"/>
    <w:rsid w:val="00311F01"/>
    <w:rsid w:val="00312061"/>
    <w:rsid w:val="00312102"/>
    <w:rsid w:val="00312927"/>
    <w:rsid w:val="0031300E"/>
    <w:rsid w:val="003133DA"/>
    <w:rsid w:val="003135EF"/>
    <w:rsid w:val="003137DE"/>
    <w:rsid w:val="00313D8C"/>
    <w:rsid w:val="00314477"/>
    <w:rsid w:val="00314CAE"/>
    <w:rsid w:val="00314E20"/>
    <w:rsid w:val="00314EDA"/>
    <w:rsid w:val="00315062"/>
    <w:rsid w:val="00315C2D"/>
    <w:rsid w:val="00315C3B"/>
    <w:rsid w:val="003164E3"/>
    <w:rsid w:val="003167DE"/>
    <w:rsid w:val="003172DC"/>
    <w:rsid w:val="00317624"/>
    <w:rsid w:val="00317E2A"/>
    <w:rsid w:val="00321022"/>
    <w:rsid w:val="003217A3"/>
    <w:rsid w:val="00321B26"/>
    <w:rsid w:val="00322B4F"/>
    <w:rsid w:val="00322C99"/>
    <w:rsid w:val="00323705"/>
    <w:rsid w:val="00323813"/>
    <w:rsid w:val="00324071"/>
    <w:rsid w:val="00324F58"/>
    <w:rsid w:val="00324F76"/>
    <w:rsid w:val="00325813"/>
    <w:rsid w:val="003259A4"/>
    <w:rsid w:val="00325E04"/>
    <w:rsid w:val="00325FF1"/>
    <w:rsid w:val="003260CC"/>
    <w:rsid w:val="003262FB"/>
    <w:rsid w:val="0032676C"/>
    <w:rsid w:val="00327029"/>
    <w:rsid w:val="003303D8"/>
    <w:rsid w:val="0033061A"/>
    <w:rsid w:val="0033149D"/>
    <w:rsid w:val="003314D9"/>
    <w:rsid w:val="0033165E"/>
    <w:rsid w:val="00331A93"/>
    <w:rsid w:val="0033242A"/>
    <w:rsid w:val="00333D40"/>
    <w:rsid w:val="00333EF5"/>
    <w:rsid w:val="00334002"/>
    <w:rsid w:val="0033416E"/>
    <w:rsid w:val="00334440"/>
    <w:rsid w:val="003351C7"/>
    <w:rsid w:val="0033530B"/>
    <w:rsid w:val="0033556C"/>
    <w:rsid w:val="0033597C"/>
    <w:rsid w:val="00336046"/>
    <w:rsid w:val="00336630"/>
    <w:rsid w:val="0033677D"/>
    <w:rsid w:val="00336D80"/>
    <w:rsid w:val="00337E71"/>
    <w:rsid w:val="00340006"/>
    <w:rsid w:val="00340232"/>
    <w:rsid w:val="00340B18"/>
    <w:rsid w:val="0034155F"/>
    <w:rsid w:val="003423FC"/>
    <w:rsid w:val="003424E3"/>
    <w:rsid w:val="00342B01"/>
    <w:rsid w:val="00342D0F"/>
    <w:rsid w:val="00343D74"/>
    <w:rsid w:val="00343FE7"/>
    <w:rsid w:val="00344754"/>
    <w:rsid w:val="00344D83"/>
    <w:rsid w:val="00345B7E"/>
    <w:rsid w:val="00345C93"/>
    <w:rsid w:val="0034678E"/>
    <w:rsid w:val="00346C5F"/>
    <w:rsid w:val="00347089"/>
    <w:rsid w:val="00351BA1"/>
    <w:rsid w:val="00351BF7"/>
    <w:rsid w:val="00351E08"/>
    <w:rsid w:val="00352CBE"/>
    <w:rsid w:val="00352DA0"/>
    <w:rsid w:val="00352E37"/>
    <w:rsid w:val="003540B1"/>
    <w:rsid w:val="0035462D"/>
    <w:rsid w:val="0035475E"/>
    <w:rsid w:val="0035489D"/>
    <w:rsid w:val="003548FE"/>
    <w:rsid w:val="00355389"/>
    <w:rsid w:val="0035538C"/>
    <w:rsid w:val="003553F7"/>
    <w:rsid w:val="00355BF0"/>
    <w:rsid w:val="00356152"/>
    <w:rsid w:val="0035618D"/>
    <w:rsid w:val="003570F6"/>
    <w:rsid w:val="0035717E"/>
    <w:rsid w:val="00357324"/>
    <w:rsid w:val="003575E1"/>
    <w:rsid w:val="00357B2A"/>
    <w:rsid w:val="0036001A"/>
    <w:rsid w:val="00360773"/>
    <w:rsid w:val="003610D2"/>
    <w:rsid w:val="003611CF"/>
    <w:rsid w:val="00361A5D"/>
    <w:rsid w:val="00362B0D"/>
    <w:rsid w:val="00362E3F"/>
    <w:rsid w:val="00363609"/>
    <w:rsid w:val="00363CE4"/>
    <w:rsid w:val="003645D3"/>
    <w:rsid w:val="003646E7"/>
    <w:rsid w:val="00364847"/>
    <w:rsid w:val="00364D21"/>
    <w:rsid w:val="00364E38"/>
    <w:rsid w:val="00365107"/>
    <w:rsid w:val="00365674"/>
    <w:rsid w:val="0036597B"/>
    <w:rsid w:val="00365B75"/>
    <w:rsid w:val="00365E20"/>
    <w:rsid w:val="00366276"/>
    <w:rsid w:val="003668F2"/>
    <w:rsid w:val="00367B3A"/>
    <w:rsid w:val="00370295"/>
    <w:rsid w:val="00370E20"/>
    <w:rsid w:val="00370FF9"/>
    <w:rsid w:val="00371AFC"/>
    <w:rsid w:val="00371C64"/>
    <w:rsid w:val="00371E96"/>
    <w:rsid w:val="003724F8"/>
    <w:rsid w:val="00372C99"/>
    <w:rsid w:val="00372D09"/>
    <w:rsid w:val="00372DA7"/>
    <w:rsid w:val="003735CF"/>
    <w:rsid w:val="00374214"/>
    <w:rsid w:val="00374EEE"/>
    <w:rsid w:val="00376044"/>
    <w:rsid w:val="0037626A"/>
    <w:rsid w:val="0037661D"/>
    <w:rsid w:val="00376650"/>
    <w:rsid w:val="003768B1"/>
    <w:rsid w:val="00376B6D"/>
    <w:rsid w:val="00376FA6"/>
    <w:rsid w:val="00376FE8"/>
    <w:rsid w:val="0037716F"/>
    <w:rsid w:val="00377A50"/>
    <w:rsid w:val="00377F1D"/>
    <w:rsid w:val="003800A3"/>
    <w:rsid w:val="003800AA"/>
    <w:rsid w:val="003803A0"/>
    <w:rsid w:val="0038098C"/>
    <w:rsid w:val="00380CCC"/>
    <w:rsid w:val="00381138"/>
    <w:rsid w:val="003812C8"/>
    <w:rsid w:val="0038228D"/>
    <w:rsid w:val="003829D8"/>
    <w:rsid w:val="00382A69"/>
    <w:rsid w:val="003830F4"/>
    <w:rsid w:val="00383643"/>
    <w:rsid w:val="00383951"/>
    <w:rsid w:val="00383E78"/>
    <w:rsid w:val="00383EE4"/>
    <w:rsid w:val="003842EC"/>
    <w:rsid w:val="00384799"/>
    <w:rsid w:val="003852C0"/>
    <w:rsid w:val="00385EC3"/>
    <w:rsid w:val="00386873"/>
    <w:rsid w:val="00390D09"/>
    <w:rsid w:val="00390FFF"/>
    <w:rsid w:val="003915E3"/>
    <w:rsid w:val="003919FE"/>
    <w:rsid w:val="00393192"/>
    <w:rsid w:val="00393C35"/>
    <w:rsid w:val="00394239"/>
    <w:rsid w:val="003945E5"/>
    <w:rsid w:val="003949ED"/>
    <w:rsid w:val="00394B2E"/>
    <w:rsid w:val="00394FE3"/>
    <w:rsid w:val="0039518B"/>
    <w:rsid w:val="00395609"/>
    <w:rsid w:val="00395980"/>
    <w:rsid w:val="00395A9B"/>
    <w:rsid w:val="00395E96"/>
    <w:rsid w:val="003962E8"/>
    <w:rsid w:val="00396814"/>
    <w:rsid w:val="00397F1D"/>
    <w:rsid w:val="003A0EBA"/>
    <w:rsid w:val="003A1E36"/>
    <w:rsid w:val="003A27F1"/>
    <w:rsid w:val="003A302F"/>
    <w:rsid w:val="003A324B"/>
    <w:rsid w:val="003A33E3"/>
    <w:rsid w:val="003A3BCF"/>
    <w:rsid w:val="003A4919"/>
    <w:rsid w:val="003A4FEB"/>
    <w:rsid w:val="003A538E"/>
    <w:rsid w:val="003A541B"/>
    <w:rsid w:val="003A556B"/>
    <w:rsid w:val="003A563E"/>
    <w:rsid w:val="003A5BB6"/>
    <w:rsid w:val="003A614C"/>
    <w:rsid w:val="003A6804"/>
    <w:rsid w:val="003A6F7B"/>
    <w:rsid w:val="003A711D"/>
    <w:rsid w:val="003A7E43"/>
    <w:rsid w:val="003A7F65"/>
    <w:rsid w:val="003B00B2"/>
    <w:rsid w:val="003B0188"/>
    <w:rsid w:val="003B075C"/>
    <w:rsid w:val="003B1063"/>
    <w:rsid w:val="003B1342"/>
    <w:rsid w:val="003B1754"/>
    <w:rsid w:val="003B18D8"/>
    <w:rsid w:val="003B1BBB"/>
    <w:rsid w:val="003B26FD"/>
    <w:rsid w:val="003B3163"/>
    <w:rsid w:val="003B3E4C"/>
    <w:rsid w:val="003B3FEC"/>
    <w:rsid w:val="003B418D"/>
    <w:rsid w:val="003B4BCC"/>
    <w:rsid w:val="003B4DCA"/>
    <w:rsid w:val="003B5053"/>
    <w:rsid w:val="003B54C3"/>
    <w:rsid w:val="003B5827"/>
    <w:rsid w:val="003B63BD"/>
    <w:rsid w:val="003B6634"/>
    <w:rsid w:val="003B677F"/>
    <w:rsid w:val="003B69FE"/>
    <w:rsid w:val="003B705E"/>
    <w:rsid w:val="003B7150"/>
    <w:rsid w:val="003B79F5"/>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9FC"/>
    <w:rsid w:val="003C3F10"/>
    <w:rsid w:val="003C4D3E"/>
    <w:rsid w:val="003C515A"/>
    <w:rsid w:val="003C537D"/>
    <w:rsid w:val="003C578F"/>
    <w:rsid w:val="003C5ADF"/>
    <w:rsid w:val="003C6B19"/>
    <w:rsid w:val="003C73DC"/>
    <w:rsid w:val="003C7469"/>
    <w:rsid w:val="003C7672"/>
    <w:rsid w:val="003D0880"/>
    <w:rsid w:val="003D0BBA"/>
    <w:rsid w:val="003D105C"/>
    <w:rsid w:val="003D119C"/>
    <w:rsid w:val="003D16D0"/>
    <w:rsid w:val="003D1B02"/>
    <w:rsid w:val="003D2D1C"/>
    <w:rsid w:val="003D3289"/>
    <w:rsid w:val="003D3839"/>
    <w:rsid w:val="003D38FB"/>
    <w:rsid w:val="003D3C10"/>
    <w:rsid w:val="003D4289"/>
    <w:rsid w:val="003D4803"/>
    <w:rsid w:val="003D4966"/>
    <w:rsid w:val="003D4D4C"/>
    <w:rsid w:val="003D4D70"/>
    <w:rsid w:val="003D4E84"/>
    <w:rsid w:val="003D4FAA"/>
    <w:rsid w:val="003D5E22"/>
    <w:rsid w:val="003D6138"/>
    <w:rsid w:val="003D6346"/>
    <w:rsid w:val="003D7E8B"/>
    <w:rsid w:val="003D7F19"/>
    <w:rsid w:val="003E04A8"/>
    <w:rsid w:val="003E065B"/>
    <w:rsid w:val="003E0902"/>
    <w:rsid w:val="003E0950"/>
    <w:rsid w:val="003E0A00"/>
    <w:rsid w:val="003E0AD3"/>
    <w:rsid w:val="003E0D20"/>
    <w:rsid w:val="003E0F0A"/>
    <w:rsid w:val="003E2C49"/>
    <w:rsid w:val="003E319E"/>
    <w:rsid w:val="003E37DA"/>
    <w:rsid w:val="003E49A5"/>
    <w:rsid w:val="003E4D0D"/>
    <w:rsid w:val="003E5715"/>
    <w:rsid w:val="003E62E6"/>
    <w:rsid w:val="003E6312"/>
    <w:rsid w:val="003E66E6"/>
    <w:rsid w:val="003E716F"/>
    <w:rsid w:val="003E7637"/>
    <w:rsid w:val="003E763D"/>
    <w:rsid w:val="003E766B"/>
    <w:rsid w:val="003E7C56"/>
    <w:rsid w:val="003F0358"/>
    <w:rsid w:val="003F0406"/>
    <w:rsid w:val="003F045D"/>
    <w:rsid w:val="003F09F9"/>
    <w:rsid w:val="003F0F01"/>
    <w:rsid w:val="003F1176"/>
    <w:rsid w:val="003F1712"/>
    <w:rsid w:val="003F2060"/>
    <w:rsid w:val="003F24DC"/>
    <w:rsid w:val="003F25AF"/>
    <w:rsid w:val="003F39BB"/>
    <w:rsid w:val="003F44D3"/>
    <w:rsid w:val="003F557B"/>
    <w:rsid w:val="003F588D"/>
    <w:rsid w:val="003F5E8C"/>
    <w:rsid w:val="003F5FD5"/>
    <w:rsid w:val="003F6370"/>
    <w:rsid w:val="003F64A8"/>
    <w:rsid w:val="003F6727"/>
    <w:rsid w:val="003F6F87"/>
    <w:rsid w:val="0040058A"/>
    <w:rsid w:val="00400853"/>
    <w:rsid w:val="00400F3B"/>
    <w:rsid w:val="0040139A"/>
    <w:rsid w:val="00401A91"/>
    <w:rsid w:val="00402120"/>
    <w:rsid w:val="004021A8"/>
    <w:rsid w:val="00402540"/>
    <w:rsid w:val="004025A2"/>
    <w:rsid w:val="0040290C"/>
    <w:rsid w:val="00402B6E"/>
    <w:rsid w:val="00402C23"/>
    <w:rsid w:val="004032B8"/>
    <w:rsid w:val="00403822"/>
    <w:rsid w:val="00403970"/>
    <w:rsid w:val="00403F0A"/>
    <w:rsid w:val="0040408A"/>
    <w:rsid w:val="0040439A"/>
    <w:rsid w:val="0040485F"/>
    <w:rsid w:val="00404A5D"/>
    <w:rsid w:val="00404DBA"/>
    <w:rsid w:val="00405D74"/>
    <w:rsid w:val="004063DD"/>
    <w:rsid w:val="00406579"/>
    <w:rsid w:val="00406A27"/>
    <w:rsid w:val="00406D66"/>
    <w:rsid w:val="00407694"/>
    <w:rsid w:val="0040773B"/>
    <w:rsid w:val="00411311"/>
    <w:rsid w:val="00411627"/>
    <w:rsid w:val="00411698"/>
    <w:rsid w:val="004118FF"/>
    <w:rsid w:val="00411F9A"/>
    <w:rsid w:val="00412062"/>
    <w:rsid w:val="004120C2"/>
    <w:rsid w:val="00412852"/>
    <w:rsid w:val="00413153"/>
    <w:rsid w:val="00413534"/>
    <w:rsid w:val="00414CE7"/>
    <w:rsid w:val="004154DD"/>
    <w:rsid w:val="004156E1"/>
    <w:rsid w:val="00415704"/>
    <w:rsid w:val="00415BC3"/>
    <w:rsid w:val="00416D92"/>
    <w:rsid w:val="004171A8"/>
    <w:rsid w:val="004175F2"/>
    <w:rsid w:val="0042014F"/>
    <w:rsid w:val="00420339"/>
    <w:rsid w:val="00420702"/>
    <w:rsid w:val="00420AA7"/>
    <w:rsid w:val="00421A0E"/>
    <w:rsid w:val="00421B20"/>
    <w:rsid w:val="00421CB0"/>
    <w:rsid w:val="00421CD2"/>
    <w:rsid w:val="00421E1E"/>
    <w:rsid w:val="00421E9C"/>
    <w:rsid w:val="004224E3"/>
    <w:rsid w:val="00422B33"/>
    <w:rsid w:val="00423E63"/>
    <w:rsid w:val="00424D59"/>
    <w:rsid w:val="00425014"/>
    <w:rsid w:val="00426852"/>
    <w:rsid w:val="00426859"/>
    <w:rsid w:val="004269EB"/>
    <w:rsid w:val="00426BCD"/>
    <w:rsid w:val="00426E3A"/>
    <w:rsid w:val="004271B7"/>
    <w:rsid w:val="0042755D"/>
    <w:rsid w:val="004275E7"/>
    <w:rsid w:val="00430379"/>
    <w:rsid w:val="00430815"/>
    <w:rsid w:val="00430991"/>
    <w:rsid w:val="00431126"/>
    <w:rsid w:val="00431527"/>
    <w:rsid w:val="00432191"/>
    <w:rsid w:val="004322D9"/>
    <w:rsid w:val="00432BAB"/>
    <w:rsid w:val="0043325C"/>
    <w:rsid w:val="004336D6"/>
    <w:rsid w:val="00433976"/>
    <w:rsid w:val="00433CFD"/>
    <w:rsid w:val="00434009"/>
    <w:rsid w:val="004341B0"/>
    <w:rsid w:val="00434399"/>
    <w:rsid w:val="00434476"/>
    <w:rsid w:val="00434C45"/>
    <w:rsid w:val="00435156"/>
    <w:rsid w:val="0043519D"/>
    <w:rsid w:val="00436357"/>
    <w:rsid w:val="0043778F"/>
    <w:rsid w:val="00437BCD"/>
    <w:rsid w:val="00440819"/>
    <w:rsid w:val="00440A4C"/>
    <w:rsid w:val="00441026"/>
    <w:rsid w:val="0044177D"/>
    <w:rsid w:val="004418DA"/>
    <w:rsid w:val="0044227C"/>
    <w:rsid w:val="0044235F"/>
    <w:rsid w:val="00442D7C"/>
    <w:rsid w:val="00443933"/>
    <w:rsid w:val="00443A1A"/>
    <w:rsid w:val="00443ED1"/>
    <w:rsid w:val="00444C42"/>
    <w:rsid w:val="00444CFF"/>
    <w:rsid w:val="00444D23"/>
    <w:rsid w:val="00444DC5"/>
    <w:rsid w:val="004450B3"/>
    <w:rsid w:val="004458C7"/>
    <w:rsid w:val="004459AC"/>
    <w:rsid w:val="0044634B"/>
    <w:rsid w:val="00446D11"/>
    <w:rsid w:val="00446F4B"/>
    <w:rsid w:val="00447432"/>
    <w:rsid w:val="0044755F"/>
    <w:rsid w:val="00447D7D"/>
    <w:rsid w:val="0045017D"/>
    <w:rsid w:val="004504E3"/>
    <w:rsid w:val="004506E2"/>
    <w:rsid w:val="00451251"/>
    <w:rsid w:val="0045146B"/>
    <w:rsid w:val="004515EE"/>
    <w:rsid w:val="004523BE"/>
    <w:rsid w:val="00454751"/>
    <w:rsid w:val="00454A3B"/>
    <w:rsid w:val="00454A9F"/>
    <w:rsid w:val="004555F4"/>
    <w:rsid w:val="00455C1A"/>
    <w:rsid w:val="00455FED"/>
    <w:rsid w:val="00456453"/>
    <w:rsid w:val="0045711F"/>
    <w:rsid w:val="00460B93"/>
    <w:rsid w:val="00460E10"/>
    <w:rsid w:val="00461426"/>
    <w:rsid w:val="00461974"/>
    <w:rsid w:val="0046210C"/>
    <w:rsid w:val="00462123"/>
    <w:rsid w:val="00463A73"/>
    <w:rsid w:val="00463E45"/>
    <w:rsid w:val="00464254"/>
    <w:rsid w:val="004650D1"/>
    <w:rsid w:val="004658FD"/>
    <w:rsid w:val="00466398"/>
    <w:rsid w:val="004666CA"/>
    <w:rsid w:val="00466A2C"/>
    <w:rsid w:val="00467603"/>
    <w:rsid w:val="004677E0"/>
    <w:rsid w:val="00470113"/>
    <w:rsid w:val="00470746"/>
    <w:rsid w:val="00470878"/>
    <w:rsid w:val="004717DD"/>
    <w:rsid w:val="00471E8E"/>
    <w:rsid w:val="004722BA"/>
    <w:rsid w:val="0047246C"/>
    <w:rsid w:val="00472D59"/>
    <w:rsid w:val="00472DD6"/>
    <w:rsid w:val="00472EBB"/>
    <w:rsid w:val="00472F3B"/>
    <w:rsid w:val="004740B2"/>
    <w:rsid w:val="00474BEE"/>
    <w:rsid w:val="004756DD"/>
    <w:rsid w:val="00475EB5"/>
    <w:rsid w:val="004761BA"/>
    <w:rsid w:val="004762FF"/>
    <w:rsid w:val="0047653F"/>
    <w:rsid w:val="0047670E"/>
    <w:rsid w:val="00477140"/>
    <w:rsid w:val="00477484"/>
    <w:rsid w:val="00480550"/>
    <w:rsid w:val="00480AFA"/>
    <w:rsid w:val="00481094"/>
    <w:rsid w:val="0048133C"/>
    <w:rsid w:val="00481ADD"/>
    <w:rsid w:val="00481ED6"/>
    <w:rsid w:val="00481EF6"/>
    <w:rsid w:val="00482064"/>
    <w:rsid w:val="00482F12"/>
    <w:rsid w:val="00483491"/>
    <w:rsid w:val="004835FC"/>
    <w:rsid w:val="004839E4"/>
    <w:rsid w:val="00484207"/>
    <w:rsid w:val="0048434B"/>
    <w:rsid w:val="00484493"/>
    <w:rsid w:val="00484747"/>
    <w:rsid w:val="0048495D"/>
    <w:rsid w:val="0048597F"/>
    <w:rsid w:val="00485AA6"/>
    <w:rsid w:val="0048623F"/>
    <w:rsid w:val="0048634C"/>
    <w:rsid w:val="00486DCB"/>
    <w:rsid w:val="004873B1"/>
    <w:rsid w:val="00487713"/>
    <w:rsid w:val="00487B67"/>
    <w:rsid w:val="00487BDE"/>
    <w:rsid w:val="004902DF"/>
    <w:rsid w:val="0049060D"/>
    <w:rsid w:val="0049120B"/>
    <w:rsid w:val="0049142C"/>
    <w:rsid w:val="004914D5"/>
    <w:rsid w:val="00491786"/>
    <w:rsid w:val="00491C74"/>
    <w:rsid w:val="004922B1"/>
    <w:rsid w:val="00492829"/>
    <w:rsid w:val="00492B2F"/>
    <w:rsid w:val="00492E72"/>
    <w:rsid w:val="00493AEF"/>
    <w:rsid w:val="00493DB8"/>
    <w:rsid w:val="00493DDB"/>
    <w:rsid w:val="00494097"/>
    <w:rsid w:val="00494C9D"/>
    <w:rsid w:val="00494F22"/>
    <w:rsid w:val="00495CF5"/>
    <w:rsid w:val="00495D91"/>
    <w:rsid w:val="00496451"/>
    <w:rsid w:val="0049645D"/>
    <w:rsid w:val="00496C88"/>
    <w:rsid w:val="00497304"/>
    <w:rsid w:val="00497A2B"/>
    <w:rsid w:val="00497F2E"/>
    <w:rsid w:val="004A01EB"/>
    <w:rsid w:val="004A0F00"/>
    <w:rsid w:val="004A1A8D"/>
    <w:rsid w:val="004A2539"/>
    <w:rsid w:val="004A2B64"/>
    <w:rsid w:val="004A2C3A"/>
    <w:rsid w:val="004A2C7A"/>
    <w:rsid w:val="004A3225"/>
    <w:rsid w:val="004A389B"/>
    <w:rsid w:val="004A4886"/>
    <w:rsid w:val="004A49E4"/>
    <w:rsid w:val="004A4C8D"/>
    <w:rsid w:val="004A4F5E"/>
    <w:rsid w:val="004A530D"/>
    <w:rsid w:val="004A65F5"/>
    <w:rsid w:val="004A6AD9"/>
    <w:rsid w:val="004A6CF8"/>
    <w:rsid w:val="004A7035"/>
    <w:rsid w:val="004A7124"/>
    <w:rsid w:val="004A728F"/>
    <w:rsid w:val="004A7522"/>
    <w:rsid w:val="004A7543"/>
    <w:rsid w:val="004A77B1"/>
    <w:rsid w:val="004A7A12"/>
    <w:rsid w:val="004A7F4E"/>
    <w:rsid w:val="004B0799"/>
    <w:rsid w:val="004B0FE5"/>
    <w:rsid w:val="004B137B"/>
    <w:rsid w:val="004B18C7"/>
    <w:rsid w:val="004B18D9"/>
    <w:rsid w:val="004B2A98"/>
    <w:rsid w:val="004B2AF3"/>
    <w:rsid w:val="004B2C0E"/>
    <w:rsid w:val="004B3677"/>
    <w:rsid w:val="004B36C6"/>
    <w:rsid w:val="004B384F"/>
    <w:rsid w:val="004B395C"/>
    <w:rsid w:val="004B3D68"/>
    <w:rsid w:val="004B3EE3"/>
    <w:rsid w:val="004B4070"/>
    <w:rsid w:val="004B4A94"/>
    <w:rsid w:val="004B4ACE"/>
    <w:rsid w:val="004B5556"/>
    <w:rsid w:val="004B75E7"/>
    <w:rsid w:val="004B7867"/>
    <w:rsid w:val="004B7C2C"/>
    <w:rsid w:val="004C0656"/>
    <w:rsid w:val="004C0EBE"/>
    <w:rsid w:val="004C0F75"/>
    <w:rsid w:val="004C1629"/>
    <w:rsid w:val="004C1825"/>
    <w:rsid w:val="004C219D"/>
    <w:rsid w:val="004C2724"/>
    <w:rsid w:val="004C318A"/>
    <w:rsid w:val="004C369C"/>
    <w:rsid w:val="004C4670"/>
    <w:rsid w:val="004C4C61"/>
    <w:rsid w:val="004C50C3"/>
    <w:rsid w:val="004C60C0"/>
    <w:rsid w:val="004C60F2"/>
    <w:rsid w:val="004C63D8"/>
    <w:rsid w:val="004C6650"/>
    <w:rsid w:val="004C67BC"/>
    <w:rsid w:val="004C692B"/>
    <w:rsid w:val="004C69D7"/>
    <w:rsid w:val="004C7E9F"/>
    <w:rsid w:val="004D02C1"/>
    <w:rsid w:val="004D072D"/>
    <w:rsid w:val="004D24D5"/>
    <w:rsid w:val="004D2C4E"/>
    <w:rsid w:val="004D2FC3"/>
    <w:rsid w:val="004D3578"/>
    <w:rsid w:val="004D3884"/>
    <w:rsid w:val="004D3FF3"/>
    <w:rsid w:val="004D463F"/>
    <w:rsid w:val="004D472B"/>
    <w:rsid w:val="004D473E"/>
    <w:rsid w:val="004D51B6"/>
    <w:rsid w:val="004D53F3"/>
    <w:rsid w:val="004D5B17"/>
    <w:rsid w:val="004D5D0D"/>
    <w:rsid w:val="004D5DD9"/>
    <w:rsid w:val="004D5EC8"/>
    <w:rsid w:val="004D655E"/>
    <w:rsid w:val="004D6A02"/>
    <w:rsid w:val="004D6FD0"/>
    <w:rsid w:val="004D7025"/>
    <w:rsid w:val="004D719E"/>
    <w:rsid w:val="004D730E"/>
    <w:rsid w:val="004D737E"/>
    <w:rsid w:val="004D7517"/>
    <w:rsid w:val="004D76A3"/>
    <w:rsid w:val="004D7E63"/>
    <w:rsid w:val="004E074D"/>
    <w:rsid w:val="004E0D60"/>
    <w:rsid w:val="004E0E71"/>
    <w:rsid w:val="004E1346"/>
    <w:rsid w:val="004E167B"/>
    <w:rsid w:val="004E170C"/>
    <w:rsid w:val="004E1859"/>
    <w:rsid w:val="004E1A24"/>
    <w:rsid w:val="004E1F8E"/>
    <w:rsid w:val="004E213A"/>
    <w:rsid w:val="004E25EF"/>
    <w:rsid w:val="004E2746"/>
    <w:rsid w:val="004E2844"/>
    <w:rsid w:val="004E320B"/>
    <w:rsid w:val="004E34BB"/>
    <w:rsid w:val="004E359E"/>
    <w:rsid w:val="004E4B5F"/>
    <w:rsid w:val="004E4CFE"/>
    <w:rsid w:val="004E5118"/>
    <w:rsid w:val="004E548E"/>
    <w:rsid w:val="004E5F09"/>
    <w:rsid w:val="004E6125"/>
    <w:rsid w:val="004E6385"/>
    <w:rsid w:val="004E649D"/>
    <w:rsid w:val="004E6643"/>
    <w:rsid w:val="004E67A5"/>
    <w:rsid w:val="004E6A6A"/>
    <w:rsid w:val="004E6E4E"/>
    <w:rsid w:val="004E6EBA"/>
    <w:rsid w:val="004E6F7C"/>
    <w:rsid w:val="004E731E"/>
    <w:rsid w:val="004E7872"/>
    <w:rsid w:val="004E78A2"/>
    <w:rsid w:val="004F00E2"/>
    <w:rsid w:val="004F0AAD"/>
    <w:rsid w:val="004F0DAF"/>
    <w:rsid w:val="004F19BF"/>
    <w:rsid w:val="004F2467"/>
    <w:rsid w:val="004F29E2"/>
    <w:rsid w:val="004F33D4"/>
    <w:rsid w:val="004F33DF"/>
    <w:rsid w:val="004F35F0"/>
    <w:rsid w:val="004F37E2"/>
    <w:rsid w:val="004F3EBC"/>
    <w:rsid w:val="004F4172"/>
    <w:rsid w:val="004F496D"/>
    <w:rsid w:val="004F4FEE"/>
    <w:rsid w:val="004F5180"/>
    <w:rsid w:val="004F523A"/>
    <w:rsid w:val="004F56DE"/>
    <w:rsid w:val="004F6361"/>
    <w:rsid w:val="004F7304"/>
    <w:rsid w:val="004F7508"/>
    <w:rsid w:val="004F7844"/>
    <w:rsid w:val="004F7BE0"/>
    <w:rsid w:val="0050013D"/>
    <w:rsid w:val="005005C2"/>
    <w:rsid w:val="005005E3"/>
    <w:rsid w:val="0050061B"/>
    <w:rsid w:val="00500BA4"/>
    <w:rsid w:val="005020AF"/>
    <w:rsid w:val="0050239F"/>
    <w:rsid w:val="005030DB"/>
    <w:rsid w:val="00503417"/>
    <w:rsid w:val="00503656"/>
    <w:rsid w:val="00503F9F"/>
    <w:rsid w:val="0050455F"/>
    <w:rsid w:val="00504732"/>
    <w:rsid w:val="00504A20"/>
    <w:rsid w:val="00504C03"/>
    <w:rsid w:val="005053B9"/>
    <w:rsid w:val="0050633C"/>
    <w:rsid w:val="00506895"/>
    <w:rsid w:val="0050693A"/>
    <w:rsid w:val="00506E50"/>
    <w:rsid w:val="005070E4"/>
    <w:rsid w:val="00507392"/>
    <w:rsid w:val="0050753D"/>
    <w:rsid w:val="0050782F"/>
    <w:rsid w:val="00507CD6"/>
    <w:rsid w:val="00507DC5"/>
    <w:rsid w:val="00510468"/>
    <w:rsid w:val="0051062E"/>
    <w:rsid w:val="00510708"/>
    <w:rsid w:val="0051199D"/>
    <w:rsid w:val="00512935"/>
    <w:rsid w:val="00512E33"/>
    <w:rsid w:val="00513534"/>
    <w:rsid w:val="00513F16"/>
    <w:rsid w:val="00514448"/>
    <w:rsid w:val="005145A3"/>
    <w:rsid w:val="00514AD8"/>
    <w:rsid w:val="00514FF9"/>
    <w:rsid w:val="00515F8A"/>
    <w:rsid w:val="005166A7"/>
    <w:rsid w:val="00516726"/>
    <w:rsid w:val="005168C6"/>
    <w:rsid w:val="00516FB6"/>
    <w:rsid w:val="005174E9"/>
    <w:rsid w:val="005177E3"/>
    <w:rsid w:val="00517FEB"/>
    <w:rsid w:val="005202A9"/>
    <w:rsid w:val="005204C6"/>
    <w:rsid w:val="00520528"/>
    <w:rsid w:val="005207B2"/>
    <w:rsid w:val="00520A3D"/>
    <w:rsid w:val="00521621"/>
    <w:rsid w:val="0052167C"/>
    <w:rsid w:val="005216AD"/>
    <w:rsid w:val="0052198E"/>
    <w:rsid w:val="00521B2C"/>
    <w:rsid w:val="00522299"/>
    <w:rsid w:val="00522B7C"/>
    <w:rsid w:val="00522BD9"/>
    <w:rsid w:val="0052309A"/>
    <w:rsid w:val="00523191"/>
    <w:rsid w:val="00524968"/>
    <w:rsid w:val="00524CB2"/>
    <w:rsid w:val="005250B1"/>
    <w:rsid w:val="00525361"/>
    <w:rsid w:val="00525527"/>
    <w:rsid w:val="00525C91"/>
    <w:rsid w:val="00526A2E"/>
    <w:rsid w:val="00527378"/>
    <w:rsid w:val="00527A30"/>
    <w:rsid w:val="005302DF"/>
    <w:rsid w:val="00530314"/>
    <w:rsid w:val="00530432"/>
    <w:rsid w:val="00530AE3"/>
    <w:rsid w:val="005317C0"/>
    <w:rsid w:val="005322E0"/>
    <w:rsid w:val="005325AC"/>
    <w:rsid w:val="00532849"/>
    <w:rsid w:val="00532944"/>
    <w:rsid w:val="00532D6F"/>
    <w:rsid w:val="005333F2"/>
    <w:rsid w:val="00533882"/>
    <w:rsid w:val="00533AD9"/>
    <w:rsid w:val="00533D0C"/>
    <w:rsid w:val="00534765"/>
    <w:rsid w:val="005357D9"/>
    <w:rsid w:val="0053580F"/>
    <w:rsid w:val="00535CD4"/>
    <w:rsid w:val="00535D4F"/>
    <w:rsid w:val="00535EA1"/>
    <w:rsid w:val="005363F3"/>
    <w:rsid w:val="00536438"/>
    <w:rsid w:val="005365A5"/>
    <w:rsid w:val="00536627"/>
    <w:rsid w:val="00536681"/>
    <w:rsid w:val="00536FF7"/>
    <w:rsid w:val="00537126"/>
    <w:rsid w:val="00537624"/>
    <w:rsid w:val="0053772C"/>
    <w:rsid w:val="005377D1"/>
    <w:rsid w:val="005379B6"/>
    <w:rsid w:val="00537A71"/>
    <w:rsid w:val="00537BC9"/>
    <w:rsid w:val="00537DF2"/>
    <w:rsid w:val="005400BE"/>
    <w:rsid w:val="00540D58"/>
    <w:rsid w:val="00540F44"/>
    <w:rsid w:val="005416E9"/>
    <w:rsid w:val="005424D2"/>
    <w:rsid w:val="00542CF1"/>
    <w:rsid w:val="00543213"/>
    <w:rsid w:val="0054355B"/>
    <w:rsid w:val="00543E13"/>
    <w:rsid w:val="00543E6C"/>
    <w:rsid w:val="00544123"/>
    <w:rsid w:val="005441BA"/>
    <w:rsid w:val="0054461F"/>
    <w:rsid w:val="00545ADB"/>
    <w:rsid w:val="00545B26"/>
    <w:rsid w:val="00545B39"/>
    <w:rsid w:val="005467DF"/>
    <w:rsid w:val="005468DA"/>
    <w:rsid w:val="005469F7"/>
    <w:rsid w:val="00546E1B"/>
    <w:rsid w:val="0055066B"/>
    <w:rsid w:val="0055178D"/>
    <w:rsid w:val="0055238F"/>
    <w:rsid w:val="00552747"/>
    <w:rsid w:val="005527D2"/>
    <w:rsid w:val="005543ED"/>
    <w:rsid w:val="00555796"/>
    <w:rsid w:val="00555800"/>
    <w:rsid w:val="005559F1"/>
    <w:rsid w:val="0055627D"/>
    <w:rsid w:val="00556434"/>
    <w:rsid w:val="005567E9"/>
    <w:rsid w:val="00556B2E"/>
    <w:rsid w:val="00556CCA"/>
    <w:rsid w:val="00556DDD"/>
    <w:rsid w:val="005575A4"/>
    <w:rsid w:val="00557B2D"/>
    <w:rsid w:val="00557CC6"/>
    <w:rsid w:val="005600AB"/>
    <w:rsid w:val="0056012F"/>
    <w:rsid w:val="00560741"/>
    <w:rsid w:val="00560CB6"/>
    <w:rsid w:val="00560E45"/>
    <w:rsid w:val="00561158"/>
    <w:rsid w:val="005615B8"/>
    <w:rsid w:val="00561C55"/>
    <w:rsid w:val="00561E0B"/>
    <w:rsid w:val="00562D10"/>
    <w:rsid w:val="00563282"/>
    <w:rsid w:val="00563547"/>
    <w:rsid w:val="00563564"/>
    <w:rsid w:val="00564389"/>
    <w:rsid w:val="00564F9C"/>
    <w:rsid w:val="00565087"/>
    <w:rsid w:val="0056519A"/>
    <w:rsid w:val="00565664"/>
    <w:rsid w:val="005661B6"/>
    <w:rsid w:val="005665EA"/>
    <w:rsid w:val="0056694A"/>
    <w:rsid w:val="00567D46"/>
    <w:rsid w:val="00570345"/>
    <w:rsid w:val="00570725"/>
    <w:rsid w:val="005718BC"/>
    <w:rsid w:val="005718C4"/>
    <w:rsid w:val="005721B6"/>
    <w:rsid w:val="005723F2"/>
    <w:rsid w:val="00572506"/>
    <w:rsid w:val="005726A8"/>
    <w:rsid w:val="00572A6A"/>
    <w:rsid w:val="005737EA"/>
    <w:rsid w:val="00573D27"/>
    <w:rsid w:val="00573DFE"/>
    <w:rsid w:val="00574108"/>
    <w:rsid w:val="00574143"/>
    <w:rsid w:val="0057421E"/>
    <w:rsid w:val="00574921"/>
    <w:rsid w:val="00574CAD"/>
    <w:rsid w:val="00574F22"/>
    <w:rsid w:val="0057516E"/>
    <w:rsid w:val="00576F4C"/>
    <w:rsid w:val="0057706D"/>
    <w:rsid w:val="00577845"/>
    <w:rsid w:val="00580261"/>
    <w:rsid w:val="00580283"/>
    <w:rsid w:val="00580425"/>
    <w:rsid w:val="005811EA"/>
    <w:rsid w:val="00581A3C"/>
    <w:rsid w:val="00581FDD"/>
    <w:rsid w:val="0058209B"/>
    <w:rsid w:val="00582173"/>
    <w:rsid w:val="00582DFC"/>
    <w:rsid w:val="00583330"/>
    <w:rsid w:val="0058395B"/>
    <w:rsid w:val="005840F3"/>
    <w:rsid w:val="0058444B"/>
    <w:rsid w:val="00584F87"/>
    <w:rsid w:val="00585124"/>
    <w:rsid w:val="005856F6"/>
    <w:rsid w:val="005858F2"/>
    <w:rsid w:val="00586273"/>
    <w:rsid w:val="005866C4"/>
    <w:rsid w:val="00586971"/>
    <w:rsid w:val="00586AE0"/>
    <w:rsid w:val="0058764A"/>
    <w:rsid w:val="005876EF"/>
    <w:rsid w:val="005877DD"/>
    <w:rsid w:val="00587D73"/>
    <w:rsid w:val="00587D80"/>
    <w:rsid w:val="00587DE6"/>
    <w:rsid w:val="00590819"/>
    <w:rsid w:val="00590A37"/>
    <w:rsid w:val="00590ACC"/>
    <w:rsid w:val="00591D45"/>
    <w:rsid w:val="00591DF0"/>
    <w:rsid w:val="00591EDD"/>
    <w:rsid w:val="0059323A"/>
    <w:rsid w:val="005934F8"/>
    <w:rsid w:val="00593C76"/>
    <w:rsid w:val="005943EC"/>
    <w:rsid w:val="00594D4B"/>
    <w:rsid w:val="005950FD"/>
    <w:rsid w:val="0059536D"/>
    <w:rsid w:val="005957AF"/>
    <w:rsid w:val="00595BE5"/>
    <w:rsid w:val="0059621D"/>
    <w:rsid w:val="0059641E"/>
    <w:rsid w:val="00596BD8"/>
    <w:rsid w:val="00597213"/>
    <w:rsid w:val="0059731F"/>
    <w:rsid w:val="00597630"/>
    <w:rsid w:val="005977B4"/>
    <w:rsid w:val="00597C49"/>
    <w:rsid w:val="005A04E2"/>
    <w:rsid w:val="005A0998"/>
    <w:rsid w:val="005A0AEB"/>
    <w:rsid w:val="005A150C"/>
    <w:rsid w:val="005A20D5"/>
    <w:rsid w:val="005A23C6"/>
    <w:rsid w:val="005A2A00"/>
    <w:rsid w:val="005A3132"/>
    <w:rsid w:val="005A34B2"/>
    <w:rsid w:val="005A39E3"/>
    <w:rsid w:val="005A4423"/>
    <w:rsid w:val="005A469F"/>
    <w:rsid w:val="005A4BB5"/>
    <w:rsid w:val="005A52E0"/>
    <w:rsid w:val="005A626B"/>
    <w:rsid w:val="005A6796"/>
    <w:rsid w:val="005A6A01"/>
    <w:rsid w:val="005A6D3E"/>
    <w:rsid w:val="005A70F5"/>
    <w:rsid w:val="005A7549"/>
    <w:rsid w:val="005A7867"/>
    <w:rsid w:val="005A7B95"/>
    <w:rsid w:val="005A7BFC"/>
    <w:rsid w:val="005B0C73"/>
    <w:rsid w:val="005B0EA1"/>
    <w:rsid w:val="005B123C"/>
    <w:rsid w:val="005B1B39"/>
    <w:rsid w:val="005B21DB"/>
    <w:rsid w:val="005B2550"/>
    <w:rsid w:val="005B26D8"/>
    <w:rsid w:val="005B2953"/>
    <w:rsid w:val="005B4538"/>
    <w:rsid w:val="005B5A07"/>
    <w:rsid w:val="005B5D13"/>
    <w:rsid w:val="005B6448"/>
    <w:rsid w:val="005B6C89"/>
    <w:rsid w:val="005B75DB"/>
    <w:rsid w:val="005B7683"/>
    <w:rsid w:val="005B774C"/>
    <w:rsid w:val="005B7D04"/>
    <w:rsid w:val="005B7E5C"/>
    <w:rsid w:val="005C0423"/>
    <w:rsid w:val="005C0506"/>
    <w:rsid w:val="005C0A3E"/>
    <w:rsid w:val="005C18A7"/>
    <w:rsid w:val="005C1FA3"/>
    <w:rsid w:val="005C2C66"/>
    <w:rsid w:val="005C2D93"/>
    <w:rsid w:val="005C360B"/>
    <w:rsid w:val="005C3710"/>
    <w:rsid w:val="005C3BB3"/>
    <w:rsid w:val="005C3F6C"/>
    <w:rsid w:val="005C5CDF"/>
    <w:rsid w:val="005C5D56"/>
    <w:rsid w:val="005C61F3"/>
    <w:rsid w:val="005C6485"/>
    <w:rsid w:val="005C665D"/>
    <w:rsid w:val="005C66C3"/>
    <w:rsid w:val="005C6DBB"/>
    <w:rsid w:val="005C6E1B"/>
    <w:rsid w:val="005C7CE3"/>
    <w:rsid w:val="005C7FFB"/>
    <w:rsid w:val="005D009A"/>
    <w:rsid w:val="005D06B9"/>
    <w:rsid w:val="005D1038"/>
    <w:rsid w:val="005D1162"/>
    <w:rsid w:val="005D1555"/>
    <w:rsid w:val="005D1DBE"/>
    <w:rsid w:val="005D2036"/>
    <w:rsid w:val="005D241D"/>
    <w:rsid w:val="005D27F5"/>
    <w:rsid w:val="005D2E01"/>
    <w:rsid w:val="005D2E75"/>
    <w:rsid w:val="005D2FE9"/>
    <w:rsid w:val="005D30CC"/>
    <w:rsid w:val="005D3B77"/>
    <w:rsid w:val="005D402F"/>
    <w:rsid w:val="005D443B"/>
    <w:rsid w:val="005D445C"/>
    <w:rsid w:val="005D4524"/>
    <w:rsid w:val="005D4999"/>
    <w:rsid w:val="005D4CB5"/>
    <w:rsid w:val="005D4DA2"/>
    <w:rsid w:val="005D4E7E"/>
    <w:rsid w:val="005D51FF"/>
    <w:rsid w:val="005D571D"/>
    <w:rsid w:val="005D6429"/>
    <w:rsid w:val="005D748B"/>
    <w:rsid w:val="005D7DB1"/>
    <w:rsid w:val="005E0465"/>
    <w:rsid w:val="005E04EB"/>
    <w:rsid w:val="005E0C4E"/>
    <w:rsid w:val="005E124A"/>
    <w:rsid w:val="005E206E"/>
    <w:rsid w:val="005E241E"/>
    <w:rsid w:val="005E2582"/>
    <w:rsid w:val="005E25CD"/>
    <w:rsid w:val="005E267F"/>
    <w:rsid w:val="005E2B8E"/>
    <w:rsid w:val="005E2E6D"/>
    <w:rsid w:val="005E3C85"/>
    <w:rsid w:val="005E414B"/>
    <w:rsid w:val="005E501B"/>
    <w:rsid w:val="005E521B"/>
    <w:rsid w:val="005E5EBD"/>
    <w:rsid w:val="005E626D"/>
    <w:rsid w:val="005E63DC"/>
    <w:rsid w:val="005E69E8"/>
    <w:rsid w:val="005E6CFA"/>
    <w:rsid w:val="005E6EB1"/>
    <w:rsid w:val="005E6F1F"/>
    <w:rsid w:val="005E7029"/>
    <w:rsid w:val="005E75A6"/>
    <w:rsid w:val="005E7707"/>
    <w:rsid w:val="005E7887"/>
    <w:rsid w:val="005E7FFE"/>
    <w:rsid w:val="005F04AA"/>
    <w:rsid w:val="005F14EA"/>
    <w:rsid w:val="005F15D8"/>
    <w:rsid w:val="005F18A7"/>
    <w:rsid w:val="005F19D2"/>
    <w:rsid w:val="005F1B0E"/>
    <w:rsid w:val="005F25BA"/>
    <w:rsid w:val="005F3E12"/>
    <w:rsid w:val="005F4431"/>
    <w:rsid w:val="005F5093"/>
    <w:rsid w:val="005F5722"/>
    <w:rsid w:val="005F5869"/>
    <w:rsid w:val="005F5C09"/>
    <w:rsid w:val="005F5F3C"/>
    <w:rsid w:val="005F60CF"/>
    <w:rsid w:val="005F61D5"/>
    <w:rsid w:val="005F64B3"/>
    <w:rsid w:val="005F65D7"/>
    <w:rsid w:val="005F6EFB"/>
    <w:rsid w:val="005F7170"/>
    <w:rsid w:val="005F768A"/>
    <w:rsid w:val="006002D4"/>
    <w:rsid w:val="00600C42"/>
    <w:rsid w:val="00600D53"/>
    <w:rsid w:val="006010FC"/>
    <w:rsid w:val="00601174"/>
    <w:rsid w:val="006013E6"/>
    <w:rsid w:val="00601A33"/>
    <w:rsid w:val="00601B88"/>
    <w:rsid w:val="00601BCD"/>
    <w:rsid w:val="0060203E"/>
    <w:rsid w:val="006020FF"/>
    <w:rsid w:val="00602C5E"/>
    <w:rsid w:val="0060330F"/>
    <w:rsid w:val="006034F8"/>
    <w:rsid w:val="006035A3"/>
    <w:rsid w:val="00603844"/>
    <w:rsid w:val="00603C85"/>
    <w:rsid w:val="006043BB"/>
    <w:rsid w:val="006045C1"/>
    <w:rsid w:val="00604FBB"/>
    <w:rsid w:val="0060549C"/>
    <w:rsid w:val="00605A7B"/>
    <w:rsid w:val="00605EAF"/>
    <w:rsid w:val="006065F0"/>
    <w:rsid w:val="0060671F"/>
    <w:rsid w:val="0060672B"/>
    <w:rsid w:val="00606C33"/>
    <w:rsid w:val="00606D87"/>
    <w:rsid w:val="00607135"/>
    <w:rsid w:val="00610091"/>
    <w:rsid w:val="0061040E"/>
    <w:rsid w:val="006109C0"/>
    <w:rsid w:val="006109FA"/>
    <w:rsid w:val="006113C1"/>
    <w:rsid w:val="006116B8"/>
    <w:rsid w:val="00611D48"/>
    <w:rsid w:val="00611D6A"/>
    <w:rsid w:val="00612042"/>
    <w:rsid w:val="006131B9"/>
    <w:rsid w:val="00613797"/>
    <w:rsid w:val="00613E90"/>
    <w:rsid w:val="006148FC"/>
    <w:rsid w:val="00614FDF"/>
    <w:rsid w:val="006150FF"/>
    <w:rsid w:val="00615323"/>
    <w:rsid w:val="006153ED"/>
    <w:rsid w:val="00615D15"/>
    <w:rsid w:val="00616085"/>
    <w:rsid w:val="0061694C"/>
    <w:rsid w:val="00616B1E"/>
    <w:rsid w:val="00617F7E"/>
    <w:rsid w:val="00620563"/>
    <w:rsid w:val="00620DD1"/>
    <w:rsid w:val="0062136A"/>
    <w:rsid w:val="00621F50"/>
    <w:rsid w:val="006220FF"/>
    <w:rsid w:val="00622F11"/>
    <w:rsid w:val="006233CF"/>
    <w:rsid w:val="00623EBB"/>
    <w:rsid w:val="006244D6"/>
    <w:rsid w:val="0062465D"/>
    <w:rsid w:val="00624C7D"/>
    <w:rsid w:val="0062535D"/>
    <w:rsid w:val="0062696C"/>
    <w:rsid w:val="00626CDE"/>
    <w:rsid w:val="00626D9F"/>
    <w:rsid w:val="00626FE3"/>
    <w:rsid w:val="00627194"/>
    <w:rsid w:val="00630286"/>
    <w:rsid w:val="00630822"/>
    <w:rsid w:val="00631F54"/>
    <w:rsid w:val="00632168"/>
    <w:rsid w:val="00632183"/>
    <w:rsid w:val="0063248E"/>
    <w:rsid w:val="00632A1C"/>
    <w:rsid w:val="00632F11"/>
    <w:rsid w:val="00633361"/>
    <w:rsid w:val="00633A30"/>
    <w:rsid w:val="00633A48"/>
    <w:rsid w:val="00634CE3"/>
    <w:rsid w:val="006351CF"/>
    <w:rsid w:val="00635326"/>
    <w:rsid w:val="0063568E"/>
    <w:rsid w:val="0063614D"/>
    <w:rsid w:val="00637439"/>
    <w:rsid w:val="00637537"/>
    <w:rsid w:val="00637919"/>
    <w:rsid w:val="0064004C"/>
    <w:rsid w:val="006403A3"/>
    <w:rsid w:val="00640512"/>
    <w:rsid w:val="006411D8"/>
    <w:rsid w:val="00642877"/>
    <w:rsid w:val="00642DD9"/>
    <w:rsid w:val="0064308B"/>
    <w:rsid w:val="00643405"/>
    <w:rsid w:val="0064341A"/>
    <w:rsid w:val="0064441C"/>
    <w:rsid w:val="00645086"/>
    <w:rsid w:val="00645686"/>
    <w:rsid w:val="00646012"/>
    <w:rsid w:val="0064605B"/>
    <w:rsid w:val="006469E9"/>
    <w:rsid w:val="006471CA"/>
    <w:rsid w:val="00647859"/>
    <w:rsid w:val="00650228"/>
    <w:rsid w:val="006506D4"/>
    <w:rsid w:val="00650BA6"/>
    <w:rsid w:val="006510C2"/>
    <w:rsid w:val="00651478"/>
    <w:rsid w:val="0065196B"/>
    <w:rsid w:val="00651A98"/>
    <w:rsid w:val="006526C5"/>
    <w:rsid w:val="00652713"/>
    <w:rsid w:val="006529EB"/>
    <w:rsid w:val="00652B5F"/>
    <w:rsid w:val="00652BED"/>
    <w:rsid w:val="0065347E"/>
    <w:rsid w:val="00653818"/>
    <w:rsid w:val="00653833"/>
    <w:rsid w:val="0065424E"/>
    <w:rsid w:val="00654346"/>
    <w:rsid w:val="006544D2"/>
    <w:rsid w:val="00654501"/>
    <w:rsid w:val="00655289"/>
    <w:rsid w:val="00655EC0"/>
    <w:rsid w:val="00656482"/>
    <w:rsid w:val="006565F7"/>
    <w:rsid w:val="006567DB"/>
    <w:rsid w:val="0065683D"/>
    <w:rsid w:val="00656FF3"/>
    <w:rsid w:val="00657026"/>
    <w:rsid w:val="0065759A"/>
    <w:rsid w:val="00657B20"/>
    <w:rsid w:val="00661232"/>
    <w:rsid w:val="00661C44"/>
    <w:rsid w:val="00662013"/>
    <w:rsid w:val="00663A6E"/>
    <w:rsid w:val="00663F25"/>
    <w:rsid w:val="00664EC1"/>
    <w:rsid w:val="006653CB"/>
    <w:rsid w:val="00665665"/>
    <w:rsid w:val="00665AB1"/>
    <w:rsid w:val="00665EC1"/>
    <w:rsid w:val="006674CC"/>
    <w:rsid w:val="00667E1E"/>
    <w:rsid w:val="00667E62"/>
    <w:rsid w:val="006709FF"/>
    <w:rsid w:val="00670B9A"/>
    <w:rsid w:val="00671020"/>
    <w:rsid w:val="006712C3"/>
    <w:rsid w:val="00671495"/>
    <w:rsid w:val="006721C8"/>
    <w:rsid w:val="0067221D"/>
    <w:rsid w:val="00672236"/>
    <w:rsid w:val="00672350"/>
    <w:rsid w:val="006724DA"/>
    <w:rsid w:val="0067273D"/>
    <w:rsid w:val="00672846"/>
    <w:rsid w:val="00672ADB"/>
    <w:rsid w:val="00674521"/>
    <w:rsid w:val="006746A2"/>
    <w:rsid w:val="00676182"/>
    <w:rsid w:val="006762AF"/>
    <w:rsid w:val="006765A8"/>
    <w:rsid w:val="006776A6"/>
    <w:rsid w:val="00677A74"/>
    <w:rsid w:val="00677EAE"/>
    <w:rsid w:val="0068017C"/>
    <w:rsid w:val="00680BAB"/>
    <w:rsid w:val="006810A4"/>
    <w:rsid w:val="00681303"/>
    <w:rsid w:val="006817BB"/>
    <w:rsid w:val="00681D65"/>
    <w:rsid w:val="00682BAF"/>
    <w:rsid w:val="006839F6"/>
    <w:rsid w:val="006840C7"/>
    <w:rsid w:val="0068423E"/>
    <w:rsid w:val="006843FA"/>
    <w:rsid w:val="00684FCA"/>
    <w:rsid w:val="00685089"/>
    <w:rsid w:val="00686082"/>
    <w:rsid w:val="00686283"/>
    <w:rsid w:val="00687299"/>
    <w:rsid w:val="0068747B"/>
    <w:rsid w:val="0068795E"/>
    <w:rsid w:val="00687E61"/>
    <w:rsid w:val="0069049E"/>
    <w:rsid w:val="00691352"/>
    <w:rsid w:val="006917B4"/>
    <w:rsid w:val="00691B47"/>
    <w:rsid w:val="006920B5"/>
    <w:rsid w:val="006928B9"/>
    <w:rsid w:val="006929DA"/>
    <w:rsid w:val="00693396"/>
    <w:rsid w:val="00693C2E"/>
    <w:rsid w:val="006944BA"/>
    <w:rsid w:val="0069474C"/>
    <w:rsid w:val="00694B05"/>
    <w:rsid w:val="00696021"/>
    <w:rsid w:val="0069609C"/>
    <w:rsid w:val="00696A31"/>
    <w:rsid w:val="00696E1B"/>
    <w:rsid w:val="00697389"/>
    <w:rsid w:val="00697444"/>
    <w:rsid w:val="006A012F"/>
    <w:rsid w:val="006A0754"/>
    <w:rsid w:val="006A0FFC"/>
    <w:rsid w:val="006A137A"/>
    <w:rsid w:val="006A13F3"/>
    <w:rsid w:val="006A1A58"/>
    <w:rsid w:val="006A200B"/>
    <w:rsid w:val="006A24C9"/>
    <w:rsid w:val="006A2BF7"/>
    <w:rsid w:val="006A3DF2"/>
    <w:rsid w:val="006A3EF8"/>
    <w:rsid w:val="006A4BC9"/>
    <w:rsid w:val="006A4EC4"/>
    <w:rsid w:val="006A55E7"/>
    <w:rsid w:val="006A5822"/>
    <w:rsid w:val="006A62FB"/>
    <w:rsid w:val="006A64B5"/>
    <w:rsid w:val="006A6D3F"/>
    <w:rsid w:val="006A6D7B"/>
    <w:rsid w:val="006A6FFF"/>
    <w:rsid w:val="006A77AC"/>
    <w:rsid w:val="006A77D3"/>
    <w:rsid w:val="006A78DC"/>
    <w:rsid w:val="006B0D8F"/>
    <w:rsid w:val="006B18FD"/>
    <w:rsid w:val="006B1940"/>
    <w:rsid w:val="006B2331"/>
    <w:rsid w:val="006B2334"/>
    <w:rsid w:val="006B25F0"/>
    <w:rsid w:val="006B2899"/>
    <w:rsid w:val="006B290B"/>
    <w:rsid w:val="006B29CD"/>
    <w:rsid w:val="006B2B57"/>
    <w:rsid w:val="006B3CA3"/>
    <w:rsid w:val="006B3D8E"/>
    <w:rsid w:val="006B4F03"/>
    <w:rsid w:val="006B5124"/>
    <w:rsid w:val="006B524D"/>
    <w:rsid w:val="006B6011"/>
    <w:rsid w:val="006B611F"/>
    <w:rsid w:val="006B6156"/>
    <w:rsid w:val="006B651C"/>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CD0"/>
    <w:rsid w:val="006C51EF"/>
    <w:rsid w:val="006C560C"/>
    <w:rsid w:val="006C5B98"/>
    <w:rsid w:val="006C62EE"/>
    <w:rsid w:val="006C6589"/>
    <w:rsid w:val="006C69BC"/>
    <w:rsid w:val="006C7082"/>
    <w:rsid w:val="006C72AB"/>
    <w:rsid w:val="006C7621"/>
    <w:rsid w:val="006C7AAB"/>
    <w:rsid w:val="006C7AB9"/>
    <w:rsid w:val="006C7B87"/>
    <w:rsid w:val="006D0264"/>
    <w:rsid w:val="006D0319"/>
    <w:rsid w:val="006D0A9C"/>
    <w:rsid w:val="006D0DCA"/>
    <w:rsid w:val="006D1636"/>
    <w:rsid w:val="006D1CF4"/>
    <w:rsid w:val="006D29A6"/>
    <w:rsid w:val="006D2CD2"/>
    <w:rsid w:val="006D3900"/>
    <w:rsid w:val="006D471A"/>
    <w:rsid w:val="006D4732"/>
    <w:rsid w:val="006D4A60"/>
    <w:rsid w:val="006D52E0"/>
    <w:rsid w:val="006D5389"/>
    <w:rsid w:val="006D6012"/>
    <w:rsid w:val="006D6F26"/>
    <w:rsid w:val="006D7DD7"/>
    <w:rsid w:val="006E020A"/>
    <w:rsid w:val="006E070A"/>
    <w:rsid w:val="006E073F"/>
    <w:rsid w:val="006E1723"/>
    <w:rsid w:val="006E1B3C"/>
    <w:rsid w:val="006E1DBF"/>
    <w:rsid w:val="006E267C"/>
    <w:rsid w:val="006E274B"/>
    <w:rsid w:val="006E3898"/>
    <w:rsid w:val="006E399E"/>
    <w:rsid w:val="006E3BFE"/>
    <w:rsid w:val="006E41D7"/>
    <w:rsid w:val="006E4A27"/>
    <w:rsid w:val="006E5068"/>
    <w:rsid w:val="006E5134"/>
    <w:rsid w:val="006E549F"/>
    <w:rsid w:val="006E5F2F"/>
    <w:rsid w:val="006E6BDA"/>
    <w:rsid w:val="006E734D"/>
    <w:rsid w:val="006E79F3"/>
    <w:rsid w:val="006E7F1D"/>
    <w:rsid w:val="006F03E1"/>
    <w:rsid w:val="006F0DD8"/>
    <w:rsid w:val="006F10FD"/>
    <w:rsid w:val="006F13EC"/>
    <w:rsid w:val="006F164B"/>
    <w:rsid w:val="006F19D3"/>
    <w:rsid w:val="006F1CC9"/>
    <w:rsid w:val="006F1DE2"/>
    <w:rsid w:val="006F1FFD"/>
    <w:rsid w:val="006F22DC"/>
    <w:rsid w:val="006F2759"/>
    <w:rsid w:val="006F41D0"/>
    <w:rsid w:val="006F420C"/>
    <w:rsid w:val="006F4A0E"/>
    <w:rsid w:val="006F4C2A"/>
    <w:rsid w:val="006F4C41"/>
    <w:rsid w:val="006F4F11"/>
    <w:rsid w:val="006F4FB1"/>
    <w:rsid w:val="006F5015"/>
    <w:rsid w:val="006F6500"/>
    <w:rsid w:val="006F6AF0"/>
    <w:rsid w:val="006F6D22"/>
    <w:rsid w:val="006F77F0"/>
    <w:rsid w:val="007000B8"/>
    <w:rsid w:val="0070035A"/>
    <w:rsid w:val="00700535"/>
    <w:rsid w:val="00700CA0"/>
    <w:rsid w:val="00701E8C"/>
    <w:rsid w:val="0070214A"/>
    <w:rsid w:val="0070239C"/>
    <w:rsid w:val="007025DC"/>
    <w:rsid w:val="0070260B"/>
    <w:rsid w:val="00702985"/>
    <w:rsid w:val="00702FA3"/>
    <w:rsid w:val="00703FF1"/>
    <w:rsid w:val="00704128"/>
    <w:rsid w:val="0070428F"/>
    <w:rsid w:val="0070436B"/>
    <w:rsid w:val="007046CF"/>
    <w:rsid w:val="00704E96"/>
    <w:rsid w:val="00705354"/>
    <w:rsid w:val="00705DA1"/>
    <w:rsid w:val="00705F5E"/>
    <w:rsid w:val="0070679C"/>
    <w:rsid w:val="007067FD"/>
    <w:rsid w:val="00706E11"/>
    <w:rsid w:val="00706F5A"/>
    <w:rsid w:val="00707914"/>
    <w:rsid w:val="00710E71"/>
    <w:rsid w:val="00710E82"/>
    <w:rsid w:val="0071179A"/>
    <w:rsid w:val="0071180D"/>
    <w:rsid w:val="00711C57"/>
    <w:rsid w:val="00712813"/>
    <w:rsid w:val="00712EDB"/>
    <w:rsid w:val="007130AB"/>
    <w:rsid w:val="007139CE"/>
    <w:rsid w:val="00713E65"/>
    <w:rsid w:val="00714147"/>
    <w:rsid w:val="00714662"/>
    <w:rsid w:val="00714B64"/>
    <w:rsid w:val="00715298"/>
    <w:rsid w:val="007156EC"/>
    <w:rsid w:val="0071599B"/>
    <w:rsid w:val="00716136"/>
    <w:rsid w:val="00716245"/>
    <w:rsid w:val="007164A8"/>
    <w:rsid w:val="00716B62"/>
    <w:rsid w:val="00716F79"/>
    <w:rsid w:val="00717D58"/>
    <w:rsid w:val="007202B8"/>
    <w:rsid w:val="00720A00"/>
    <w:rsid w:val="00720A16"/>
    <w:rsid w:val="00720D89"/>
    <w:rsid w:val="00720F3B"/>
    <w:rsid w:val="007216CB"/>
    <w:rsid w:val="00721882"/>
    <w:rsid w:val="00721BB1"/>
    <w:rsid w:val="00721C70"/>
    <w:rsid w:val="00721DAF"/>
    <w:rsid w:val="00721E85"/>
    <w:rsid w:val="00722342"/>
    <w:rsid w:val="00722693"/>
    <w:rsid w:val="00722A37"/>
    <w:rsid w:val="00722D62"/>
    <w:rsid w:val="00722F36"/>
    <w:rsid w:val="007236DE"/>
    <w:rsid w:val="00723707"/>
    <w:rsid w:val="00723A8E"/>
    <w:rsid w:val="00723F63"/>
    <w:rsid w:val="0072491E"/>
    <w:rsid w:val="0072590C"/>
    <w:rsid w:val="00725BF5"/>
    <w:rsid w:val="00725C6C"/>
    <w:rsid w:val="00725E00"/>
    <w:rsid w:val="0072791E"/>
    <w:rsid w:val="00727B44"/>
    <w:rsid w:val="00727C2D"/>
    <w:rsid w:val="00727C7B"/>
    <w:rsid w:val="007303F9"/>
    <w:rsid w:val="0073059D"/>
    <w:rsid w:val="007311BC"/>
    <w:rsid w:val="007313B8"/>
    <w:rsid w:val="007317AC"/>
    <w:rsid w:val="00731D07"/>
    <w:rsid w:val="00732114"/>
    <w:rsid w:val="00733475"/>
    <w:rsid w:val="00733497"/>
    <w:rsid w:val="00733C92"/>
    <w:rsid w:val="00734471"/>
    <w:rsid w:val="007346A3"/>
    <w:rsid w:val="007349BE"/>
    <w:rsid w:val="00734A5B"/>
    <w:rsid w:val="00734A9E"/>
    <w:rsid w:val="00734E4F"/>
    <w:rsid w:val="00734E7C"/>
    <w:rsid w:val="0073574E"/>
    <w:rsid w:val="00735F39"/>
    <w:rsid w:val="007406AA"/>
    <w:rsid w:val="0074103F"/>
    <w:rsid w:val="00741BD5"/>
    <w:rsid w:val="007421F2"/>
    <w:rsid w:val="007423FD"/>
    <w:rsid w:val="0074278D"/>
    <w:rsid w:val="0074297F"/>
    <w:rsid w:val="007430B5"/>
    <w:rsid w:val="007439BC"/>
    <w:rsid w:val="00743E62"/>
    <w:rsid w:val="00744629"/>
    <w:rsid w:val="00744B47"/>
    <w:rsid w:val="00744BAB"/>
    <w:rsid w:val="00744C73"/>
    <w:rsid w:val="00744E76"/>
    <w:rsid w:val="00745C5B"/>
    <w:rsid w:val="00746060"/>
    <w:rsid w:val="00746088"/>
    <w:rsid w:val="007465AB"/>
    <w:rsid w:val="00746703"/>
    <w:rsid w:val="00746747"/>
    <w:rsid w:val="00746A9F"/>
    <w:rsid w:val="00746CB8"/>
    <w:rsid w:val="007473AE"/>
    <w:rsid w:val="0074791D"/>
    <w:rsid w:val="00747D69"/>
    <w:rsid w:val="0075093A"/>
    <w:rsid w:val="00750F4E"/>
    <w:rsid w:val="00751125"/>
    <w:rsid w:val="007518BE"/>
    <w:rsid w:val="0075191C"/>
    <w:rsid w:val="00751ED5"/>
    <w:rsid w:val="007529C9"/>
    <w:rsid w:val="0075354C"/>
    <w:rsid w:val="00753603"/>
    <w:rsid w:val="00753675"/>
    <w:rsid w:val="00753BAD"/>
    <w:rsid w:val="00754343"/>
    <w:rsid w:val="007544B6"/>
    <w:rsid w:val="007548F6"/>
    <w:rsid w:val="00754F0F"/>
    <w:rsid w:val="00755746"/>
    <w:rsid w:val="0076005A"/>
    <w:rsid w:val="00760169"/>
    <w:rsid w:val="00760BF8"/>
    <w:rsid w:val="00760C0D"/>
    <w:rsid w:val="00760E9D"/>
    <w:rsid w:val="00763A16"/>
    <w:rsid w:val="00764A39"/>
    <w:rsid w:val="00764BAC"/>
    <w:rsid w:val="00764EE8"/>
    <w:rsid w:val="00764F4C"/>
    <w:rsid w:val="007654C5"/>
    <w:rsid w:val="00765AC2"/>
    <w:rsid w:val="00765C32"/>
    <w:rsid w:val="00766A59"/>
    <w:rsid w:val="00766A9D"/>
    <w:rsid w:val="00766CCB"/>
    <w:rsid w:val="007671B9"/>
    <w:rsid w:val="0076772B"/>
    <w:rsid w:val="00767ACE"/>
    <w:rsid w:val="007703B7"/>
    <w:rsid w:val="00770CD3"/>
    <w:rsid w:val="00771267"/>
    <w:rsid w:val="007714EB"/>
    <w:rsid w:val="00771A75"/>
    <w:rsid w:val="0077296F"/>
    <w:rsid w:val="00773B8C"/>
    <w:rsid w:val="00773EA8"/>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6C7"/>
    <w:rsid w:val="0078179A"/>
    <w:rsid w:val="007818B4"/>
    <w:rsid w:val="00781BDE"/>
    <w:rsid w:val="00781F0F"/>
    <w:rsid w:val="00782025"/>
    <w:rsid w:val="0078237D"/>
    <w:rsid w:val="00782B7E"/>
    <w:rsid w:val="00782D88"/>
    <w:rsid w:val="00782E23"/>
    <w:rsid w:val="00782EA5"/>
    <w:rsid w:val="0078344C"/>
    <w:rsid w:val="007836ED"/>
    <w:rsid w:val="00783897"/>
    <w:rsid w:val="007842DA"/>
    <w:rsid w:val="007843B4"/>
    <w:rsid w:val="0078491C"/>
    <w:rsid w:val="00784943"/>
    <w:rsid w:val="007859B5"/>
    <w:rsid w:val="00786057"/>
    <w:rsid w:val="007865BF"/>
    <w:rsid w:val="0078746F"/>
    <w:rsid w:val="00787A7E"/>
    <w:rsid w:val="007905AC"/>
    <w:rsid w:val="0079146D"/>
    <w:rsid w:val="00791981"/>
    <w:rsid w:val="00791C1D"/>
    <w:rsid w:val="00791DB9"/>
    <w:rsid w:val="00793169"/>
    <w:rsid w:val="00793737"/>
    <w:rsid w:val="00793772"/>
    <w:rsid w:val="0079377E"/>
    <w:rsid w:val="00793C4E"/>
    <w:rsid w:val="0079427E"/>
    <w:rsid w:val="00794519"/>
    <w:rsid w:val="00794D62"/>
    <w:rsid w:val="007956C8"/>
    <w:rsid w:val="00795D2A"/>
    <w:rsid w:val="00795F34"/>
    <w:rsid w:val="007963E7"/>
    <w:rsid w:val="00796EA1"/>
    <w:rsid w:val="007A02BB"/>
    <w:rsid w:val="007A0850"/>
    <w:rsid w:val="007A1075"/>
    <w:rsid w:val="007A12A0"/>
    <w:rsid w:val="007A13E6"/>
    <w:rsid w:val="007A1B2C"/>
    <w:rsid w:val="007A1C3A"/>
    <w:rsid w:val="007A246D"/>
    <w:rsid w:val="007A2B29"/>
    <w:rsid w:val="007A2F81"/>
    <w:rsid w:val="007A33D6"/>
    <w:rsid w:val="007A3788"/>
    <w:rsid w:val="007A3EFD"/>
    <w:rsid w:val="007A4FBD"/>
    <w:rsid w:val="007A5119"/>
    <w:rsid w:val="007A6EF4"/>
    <w:rsid w:val="007A7D3B"/>
    <w:rsid w:val="007B0002"/>
    <w:rsid w:val="007B0266"/>
    <w:rsid w:val="007B02EF"/>
    <w:rsid w:val="007B03D7"/>
    <w:rsid w:val="007B0B4B"/>
    <w:rsid w:val="007B0F58"/>
    <w:rsid w:val="007B2009"/>
    <w:rsid w:val="007B2831"/>
    <w:rsid w:val="007B2AE1"/>
    <w:rsid w:val="007B2DF6"/>
    <w:rsid w:val="007B2F77"/>
    <w:rsid w:val="007B33B3"/>
    <w:rsid w:val="007B3DFA"/>
    <w:rsid w:val="007B3F51"/>
    <w:rsid w:val="007B50F6"/>
    <w:rsid w:val="007B547A"/>
    <w:rsid w:val="007B603F"/>
    <w:rsid w:val="007B623A"/>
    <w:rsid w:val="007B684D"/>
    <w:rsid w:val="007B6BA5"/>
    <w:rsid w:val="007B6ED0"/>
    <w:rsid w:val="007B7B72"/>
    <w:rsid w:val="007C004F"/>
    <w:rsid w:val="007C0D09"/>
    <w:rsid w:val="007C16FC"/>
    <w:rsid w:val="007C1929"/>
    <w:rsid w:val="007C19C5"/>
    <w:rsid w:val="007C1F84"/>
    <w:rsid w:val="007C2885"/>
    <w:rsid w:val="007C2E91"/>
    <w:rsid w:val="007C2E98"/>
    <w:rsid w:val="007C306F"/>
    <w:rsid w:val="007C3446"/>
    <w:rsid w:val="007C3829"/>
    <w:rsid w:val="007C3E8E"/>
    <w:rsid w:val="007C417D"/>
    <w:rsid w:val="007C4913"/>
    <w:rsid w:val="007C4960"/>
    <w:rsid w:val="007C4D80"/>
    <w:rsid w:val="007C4FE9"/>
    <w:rsid w:val="007C5237"/>
    <w:rsid w:val="007C53C5"/>
    <w:rsid w:val="007C5658"/>
    <w:rsid w:val="007C56A6"/>
    <w:rsid w:val="007C61EE"/>
    <w:rsid w:val="007C693A"/>
    <w:rsid w:val="007C6D05"/>
    <w:rsid w:val="007C7D7A"/>
    <w:rsid w:val="007D0304"/>
    <w:rsid w:val="007D042C"/>
    <w:rsid w:val="007D0597"/>
    <w:rsid w:val="007D08EF"/>
    <w:rsid w:val="007D097F"/>
    <w:rsid w:val="007D0ACA"/>
    <w:rsid w:val="007D0BE4"/>
    <w:rsid w:val="007D0D05"/>
    <w:rsid w:val="007D0DD8"/>
    <w:rsid w:val="007D10EB"/>
    <w:rsid w:val="007D1423"/>
    <w:rsid w:val="007D1819"/>
    <w:rsid w:val="007D1911"/>
    <w:rsid w:val="007D21F4"/>
    <w:rsid w:val="007D2552"/>
    <w:rsid w:val="007D3321"/>
    <w:rsid w:val="007D33C1"/>
    <w:rsid w:val="007D3514"/>
    <w:rsid w:val="007D3A1B"/>
    <w:rsid w:val="007D3DB4"/>
    <w:rsid w:val="007D4D41"/>
    <w:rsid w:val="007D4F54"/>
    <w:rsid w:val="007D6580"/>
    <w:rsid w:val="007D68BA"/>
    <w:rsid w:val="007D69D9"/>
    <w:rsid w:val="007D6D26"/>
    <w:rsid w:val="007D72B2"/>
    <w:rsid w:val="007D7E3B"/>
    <w:rsid w:val="007E05FE"/>
    <w:rsid w:val="007E0E5E"/>
    <w:rsid w:val="007E232F"/>
    <w:rsid w:val="007E2832"/>
    <w:rsid w:val="007E3555"/>
    <w:rsid w:val="007E3A92"/>
    <w:rsid w:val="007E3C1A"/>
    <w:rsid w:val="007E4119"/>
    <w:rsid w:val="007E468B"/>
    <w:rsid w:val="007E48A6"/>
    <w:rsid w:val="007E4FB7"/>
    <w:rsid w:val="007E5E2A"/>
    <w:rsid w:val="007E6269"/>
    <w:rsid w:val="007E63F3"/>
    <w:rsid w:val="007E661F"/>
    <w:rsid w:val="007E67CD"/>
    <w:rsid w:val="007E6B3B"/>
    <w:rsid w:val="007E7A19"/>
    <w:rsid w:val="007E7B34"/>
    <w:rsid w:val="007E7C87"/>
    <w:rsid w:val="007E7DE5"/>
    <w:rsid w:val="007E7F8E"/>
    <w:rsid w:val="007E7FA1"/>
    <w:rsid w:val="007F0061"/>
    <w:rsid w:val="007F0E20"/>
    <w:rsid w:val="007F1212"/>
    <w:rsid w:val="007F13CD"/>
    <w:rsid w:val="007F1F93"/>
    <w:rsid w:val="007F2EA6"/>
    <w:rsid w:val="007F359B"/>
    <w:rsid w:val="007F37A8"/>
    <w:rsid w:val="007F3B71"/>
    <w:rsid w:val="007F45A5"/>
    <w:rsid w:val="007F4EB3"/>
    <w:rsid w:val="007F51AC"/>
    <w:rsid w:val="007F52AA"/>
    <w:rsid w:val="007F5469"/>
    <w:rsid w:val="007F54CE"/>
    <w:rsid w:val="007F55C0"/>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2FD5"/>
    <w:rsid w:val="00803236"/>
    <w:rsid w:val="00803370"/>
    <w:rsid w:val="00803676"/>
    <w:rsid w:val="00804FA2"/>
    <w:rsid w:val="00805004"/>
    <w:rsid w:val="00805476"/>
    <w:rsid w:val="00805866"/>
    <w:rsid w:val="008058DE"/>
    <w:rsid w:val="0080645E"/>
    <w:rsid w:val="00806AA5"/>
    <w:rsid w:val="00806CBA"/>
    <w:rsid w:val="00806F68"/>
    <w:rsid w:val="00807317"/>
    <w:rsid w:val="0080745B"/>
    <w:rsid w:val="0081031E"/>
    <w:rsid w:val="00810B0D"/>
    <w:rsid w:val="00810C4B"/>
    <w:rsid w:val="00810D94"/>
    <w:rsid w:val="00810F99"/>
    <w:rsid w:val="008130CC"/>
    <w:rsid w:val="00813222"/>
    <w:rsid w:val="0081347B"/>
    <w:rsid w:val="00813935"/>
    <w:rsid w:val="00813B9B"/>
    <w:rsid w:val="00814606"/>
    <w:rsid w:val="0081474F"/>
    <w:rsid w:val="008154E7"/>
    <w:rsid w:val="0081604E"/>
    <w:rsid w:val="00816051"/>
    <w:rsid w:val="008164C3"/>
    <w:rsid w:val="008168CD"/>
    <w:rsid w:val="00817DE5"/>
    <w:rsid w:val="008201DB"/>
    <w:rsid w:val="008202D9"/>
    <w:rsid w:val="00820B39"/>
    <w:rsid w:val="0082111C"/>
    <w:rsid w:val="00821166"/>
    <w:rsid w:val="008211E9"/>
    <w:rsid w:val="00821376"/>
    <w:rsid w:val="008218E9"/>
    <w:rsid w:val="00822CC1"/>
    <w:rsid w:val="00823441"/>
    <w:rsid w:val="00823C6E"/>
    <w:rsid w:val="00823E58"/>
    <w:rsid w:val="00823FE6"/>
    <w:rsid w:val="0082404E"/>
    <w:rsid w:val="00824629"/>
    <w:rsid w:val="00824CA4"/>
    <w:rsid w:val="00824CDE"/>
    <w:rsid w:val="00824D08"/>
    <w:rsid w:val="00824E50"/>
    <w:rsid w:val="008254B7"/>
    <w:rsid w:val="00825F49"/>
    <w:rsid w:val="008263C7"/>
    <w:rsid w:val="00826E0E"/>
    <w:rsid w:val="00827868"/>
    <w:rsid w:val="00827D6C"/>
    <w:rsid w:val="008304AF"/>
    <w:rsid w:val="00830B5A"/>
    <w:rsid w:val="0083125C"/>
    <w:rsid w:val="00831E42"/>
    <w:rsid w:val="00831EA2"/>
    <w:rsid w:val="008327B4"/>
    <w:rsid w:val="00832A97"/>
    <w:rsid w:val="0083327B"/>
    <w:rsid w:val="008338BE"/>
    <w:rsid w:val="00833967"/>
    <w:rsid w:val="00834116"/>
    <w:rsid w:val="00834521"/>
    <w:rsid w:val="00834896"/>
    <w:rsid w:val="00834952"/>
    <w:rsid w:val="00835311"/>
    <w:rsid w:val="008353B8"/>
    <w:rsid w:val="008355A1"/>
    <w:rsid w:val="00835909"/>
    <w:rsid w:val="00835BD8"/>
    <w:rsid w:val="00835ED8"/>
    <w:rsid w:val="00835FF5"/>
    <w:rsid w:val="008365FB"/>
    <w:rsid w:val="00836F81"/>
    <w:rsid w:val="00837615"/>
    <w:rsid w:val="00837A3F"/>
    <w:rsid w:val="00837C54"/>
    <w:rsid w:val="00840D6D"/>
    <w:rsid w:val="00840DC9"/>
    <w:rsid w:val="00841962"/>
    <w:rsid w:val="00841D7B"/>
    <w:rsid w:val="00842245"/>
    <w:rsid w:val="0084229E"/>
    <w:rsid w:val="00842A42"/>
    <w:rsid w:val="00842D01"/>
    <w:rsid w:val="00843008"/>
    <w:rsid w:val="00843E34"/>
    <w:rsid w:val="00843FC4"/>
    <w:rsid w:val="008445A4"/>
    <w:rsid w:val="00845013"/>
    <w:rsid w:val="008452F1"/>
    <w:rsid w:val="0084561B"/>
    <w:rsid w:val="00845A59"/>
    <w:rsid w:val="00845AB0"/>
    <w:rsid w:val="00845CF1"/>
    <w:rsid w:val="00845EF6"/>
    <w:rsid w:val="00846835"/>
    <w:rsid w:val="00846A79"/>
    <w:rsid w:val="00846AFA"/>
    <w:rsid w:val="00847188"/>
    <w:rsid w:val="0084770F"/>
    <w:rsid w:val="0085015C"/>
    <w:rsid w:val="00850196"/>
    <w:rsid w:val="00850D5D"/>
    <w:rsid w:val="00850D8C"/>
    <w:rsid w:val="0085135F"/>
    <w:rsid w:val="00851CE5"/>
    <w:rsid w:val="008521AF"/>
    <w:rsid w:val="00854477"/>
    <w:rsid w:val="008546F6"/>
    <w:rsid w:val="00854E13"/>
    <w:rsid w:val="00856178"/>
    <w:rsid w:val="00856426"/>
    <w:rsid w:val="00856CDD"/>
    <w:rsid w:val="00857149"/>
    <w:rsid w:val="008574AA"/>
    <w:rsid w:val="00857E5D"/>
    <w:rsid w:val="00860252"/>
    <w:rsid w:val="0086258D"/>
    <w:rsid w:val="00862833"/>
    <w:rsid w:val="00863E44"/>
    <w:rsid w:val="00864061"/>
    <w:rsid w:val="00864332"/>
    <w:rsid w:val="0086458B"/>
    <w:rsid w:val="008645FE"/>
    <w:rsid w:val="0086510D"/>
    <w:rsid w:val="00865123"/>
    <w:rsid w:val="0086570C"/>
    <w:rsid w:val="00865B1A"/>
    <w:rsid w:val="00865E9A"/>
    <w:rsid w:val="008663F7"/>
    <w:rsid w:val="00866A8D"/>
    <w:rsid w:val="00867BC2"/>
    <w:rsid w:val="00867F59"/>
    <w:rsid w:val="0087067E"/>
    <w:rsid w:val="00871471"/>
    <w:rsid w:val="008717F1"/>
    <w:rsid w:val="0087226C"/>
    <w:rsid w:val="0087237A"/>
    <w:rsid w:val="008736DC"/>
    <w:rsid w:val="008737F7"/>
    <w:rsid w:val="00873828"/>
    <w:rsid w:val="00873BFF"/>
    <w:rsid w:val="0087454F"/>
    <w:rsid w:val="0087455C"/>
    <w:rsid w:val="00874D49"/>
    <w:rsid w:val="0087553F"/>
    <w:rsid w:val="008755EB"/>
    <w:rsid w:val="008759F4"/>
    <w:rsid w:val="008760A9"/>
    <w:rsid w:val="008768CA"/>
    <w:rsid w:val="00876E9C"/>
    <w:rsid w:val="00876FA3"/>
    <w:rsid w:val="008772D0"/>
    <w:rsid w:val="00877872"/>
    <w:rsid w:val="0088060D"/>
    <w:rsid w:val="00881751"/>
    <w:rsid w:val="00881D68"/>
    <w:rsid w:val="00881EE8"/>
    <w:rsid w:val="00881FA4"/>
    <w:rsid w:val="00882B17"/>
    <w:rsid w:val="00882B7F"/>
    <w:rsid w:val="00882BFB"/>
    <w:rsid w:val="008835A5"/>
    <w:rsid w:val="00883F8C"/>
    <w:rsid w:val="00884442"/>
    <w:rsid w:val="008845C5"/>
    <w:rsid w:val="008854BB"/>
    <w:rsid w:val="008854DB"/>
    <w:rsid w:val="0088551F"/>
    <w:rsid w:val="00885F6B"/>
    <w:rsid w:val="008865DC"/>
    <w:rsid w:val="008866B5"/>
    <w:rsid w:val="00886A98"/>
    <w:rsid w:val="00887347"/>
    <w:rsid w:val="00887C64"/>
    <w:rsid w:val="00887D3E"/>
    <w:rsid w:val="00891238"/>
    <w:rsid w:val="00891E9D"/>
    <w:rsid w:val="008926D3"/>
    <w:rsid w:val="00892822"/>
    <w:rsid w:val="00892C2A"/>
    <w:rsid w:val="00893102"/>
    <w:rsid w:val="00893361"/>
    <w:rsid w:val="0089342F"/>
    <w:rsid w:val="00893A46"/>
    <w:rsid w:val="00893F1C"/>
    <w:rsid w:val="0089474E"/>
    <w:rsid w:val="008947FC"/>
    <w:rsid w:val="00894A23"/>
    <w:rsid w:val="00895C1C"/>
    <w:rsid w:val="0089672A"/>
    <w:rsid w:val="00896764"/>
    <w:rsid w:val="00896986"/>
    <w:rsid w:val="00896A76"/>
    <w:rsid w:val="0089764A"/>
    <w:rsid w:val="008977AD"/>
    <w:rsid w:val="00897D41"/>
    <w:rsid w:val="008A08A5"/>
    <w:rsid w:val="008A0C8E"/>
    <w:rsid w:val="008A1A94"/>
    <w:rsid w:val="008A1C19"/>
    <w:rsid w:val="008A2806"/>
    <w:rsid w:val="008A4FA0"/>
    <w:rsid w:val="008A4FA6"/>
    <w:rsid w:val="008A51EC"/>
    <w:rsid w:val="008A53A1"/>
    <w:rsid w:val="008A5B25"/>
    <w:rsid w:val="008A5B2B"/>
    <w:rsid w:val="008A5B66"/>
    <w:rsid w:val="008A5C9A"/>
    <w:rsid w:val="008A5D5C"/>
    <w:rsid w:val="008A5F4B"/>
    <w:rsid w:val="008A62C2"/>
    <w:rsid w:val="008A6696"/>
    <w:rsid w:val="008A7BF8"/>
    <w:rsid w:val="008B05CB"/>
    <w:rsid w:val="008B05D9"/>
    <w:rsid w:val="008B09DD"/>
    <w:rsid w:val="008B1243"/>
    <w:rsid w:val="008B1A2B"/>
    <w:rsid w:val="008B1A69"/>
    <w:rsid w:val="008B2D8F"/>
    <w:rsid w:val="008B3222"/>
    <w:rsid w:val="008B3598"/>
    <w:rsid w:val="008B48D7"/>
    <w:rsid w:val="008B5937"/>
    <w:rsid w:val="008B607E"/>
    <w:rsid w:val="008B65E8"/>
    <w:rsid w:val="008B69D5"/>
    <w:rsid w:val="008B6A24"/>
    <w:rsid w:val="008B6EF2"/>
    <w:rsid w:val="008B7565"/>
    <w:rsid w:val="008B7665"/>
    <w:rsid w:val="008B772E"/>
    <w:rsid w:val="008B790F"/>
    <w:rsid w:val="008C01DA"/>
    <w:rsid w:val="008C125A"/>
    <w:rsid w:val="008C1815"/>
    <w:rsid w:val="008C1C47"/>
    <w:rsid w:val="008C368B"/>
    <w:rsid w:val="008C3ABE"/>
    <w:rsid w:val="008C4346"/>
    <w:rsid w:val="008C4583"/>
    <w:rsid w:val="008C46EC"/>
    <w:rsid w:val="008C4930"/>
    <w:rsid w:val="008C4C7C"/>
    <w:rsid w:val="008C5238"/>
    <w:rsid w:val="008C5A1B"/>
    <w:rsid w:val="008C6979"/>
    <w:rsid w:val="008C75F2"/>
    <w:rsid w:val="008C78D1"/>
    <w:rsid w:val="008C7D0B"/>
    <w:rsid w:val="008C7E07"/>
    <w:rsid w:val="008D019D"/>
    <w:rsid w:val="008D0471"/>
    <w:rsid w:val="008D071D"/>
    <w:rsid w:val="008D0FA1"/>
    <w:rsid w:val="008D1317"/>
    <w:rsid w:val="008D1C7E"/>
    <w:rsid w:val="008D2364"/>
    <w:rsid w:val="008D2499"/>
    <w:rsid w:val="008D2607"/>
    <w:rsid w:val="008D2AD1"/>
    <w:rsid w:val="008D2B95"/>
    <w:rsid w:val="008D2FBC"/>
    <w:rsid w:val="008D3524"/>
    <w:rsid w:val="008D3A41"/>
    <w:rsid w:val="008D3BFD"/>
    <w:rsid w:val="008D42BB"/>
    <w:rsid w:val="008D4398"/>
    <w:rsid w:val="008D4734"/>
    <w:rsid w:val="008D4A33"/>
    <w:rsid w:val="008D4A72"/>
    <w:rsid w:val="008D5ACF"/>
    <w:rsid w:val="008D676D"/>
    <w:rsid w:val="008D73C5"/>
    <w:rsid w:val="008D747E"/>
    <w:rsid w:val="008D7889"/>
    <w:rsid w:val="008D7A29"/>
    <w:rsid w:val="008E04FD"/>
    <w:rsid w:val="008E090A"/>
    <w:rsid w:val="008E106B"/>
    <w:rsid w:val="008E18D5"/>
    <w:rsid w:val="008E1EE8"/>
    <w:rsid w:val="008E2992"/>
    <w:rsid w:val="008E2A69"/>
    <w:rsid w:val="008E42B7"/>
    <w:rsid w:val="008E5586"/>
    <w:rsid w:val="008E563E"/>
    <w:rsid w:val="008E58EC"/>
    <w:rsid w:val="008E633B"/>
    <w:rsid w:val="008E6D07"/>
    <w:rsid w:val="008E6DAE"/>
    <w:rsid w:val="008F0F4A"/>
    <w:rsid w:val="008F2242"/>
    <w:rsid w:val="008F2404"/>
    <w:rsid w:val="008F2818"/>
    <w:rsid w:val="008F2F0D"/>
    <w:rsid w:val="008F360C"/>
    <w:rsid w:val="008F3DF9"/>
    <w:rsid w:val="008F418B"/>
    <w:rsid w:val="008F4B86"/>
    <w:rsid w:val="008F5736"/>
    <w:rsid w:val="008F5CD1"/>
    <w:rsid w:val="008F6080"/>
    <w:rsid w:val="008F6694"/>
    <w:rsid w:val="008F6E20"/>
    <w:rsid w:val="008F7389"/>
    <w:rsid w:val="00900305"/>
    <w:rsid w:val="00900525"/>
    <w:rsid w:val="0090089B"/>
    <w:rsid w:val="009009AD"/>
    <w:rsid w:val="009010CD"/>
    <w:rsid w:val="009016CF"/>
    <w:rsid w:val="00901A70"/>
    <w:rsid w:val="00901C25"/>
    <w:rsid w:val="0090271F"/>
    <w:rsid w:val="009027EB"/>
    <w:rsid w:val="009028D8"/>
    <w:rsid w:val="00902E23"/>
    <w:rsid w:val="00902F76"/>
    <w:rsid w:val="009036DF"/>
    <w:rsid w:val="009036E7"/>
    <w:rsid w:val="00904612"/>
    <w:rsid w:val="00904C3B"/>
    <w:rsid w:val="009053D8"/>
    <w:rsid w:val="0090572C"/>
    <w:rsid w:val="00906861"/>
    <w:rsid w:val="00906B9F"/>
    <w:rsid w:val="00907BDE"/>
    <w:rsid w:val="0091002A"/>
    <w:rsid w:val="00911517"/>
    <w:rsid w:val="00911D96"/>
    <w:rsid w:val="00912206"/>
    <w:rsid w:val="00912617"/>
    <w:rsid w:val="00912645"/>
    <w:rsid w:val="009128CD"/>
    <w:rsid w:val="0091335F"/>
    <w:rsid w:val="0091348E"/>
    <w:rsid w:val="00913B28"/>
    <w:rsid w:val="00913B57"/>
    <w:rsid w:val="0091416D"/>
    <w:rsid w:val="00914557"/>
    <w:rsid w:val="00914BBE"/>
    <w:rsid w:val="00914F79"/>
    <w:rsid w:val="009159EC"/>
    <w:rsid w:val="0091619B"/>
    <w:rsid w:val="009161E1"/>
    <w:rsid w:val="009170FE"/>
    <w:rsid w:val="009171A1"/>
    <w:rsid w:val="0091720E"/>
    <w:rsid w:val="009201AC"/>
    <w:rsid w:val="00920E67"/>
    <w:rsid w:val="00921064"/>
    <w:rsid w:val="0092141E"/>
    <w:rsid w:val="00921768"/>
    <w:rsid w:val="0092239E"/>
    <w:rsid w:val="009224E9"/>
    <w:rsid w:val="00923033"/>
    <w:rsid w:val="00923D86"/>
    <w:rsid w:val="00923F81"/>
    <w:rsid w:val="00924696"/>
    <w:rsid w:val="00924B10"/>
    <w:rsid w:val="00924D92"/>
    <w:rsid w:val="00924FA1"/>
    <w:rsid w:val="00925487"/>
    <w:rsid w:val="0092571A"/>
    <w:rsid w:val="009259C6"/>
    <w:rsid w:val="00926C41"/>
    <w:rsid w:val="009270D9"/>
    <w:rsid w:val="009271F5"/>
    <w:rsid w:val="009276F8"/>
    <w:rsid w:val="0092789D"/>
    <w:rsid w:val="00927E6F"/>
    <w:rsid w:val="00930559"/>
    <w:rsid w:val="00930640"/>
    <w:rsid w:val="009306DD"/>
    <w:rsid w:val="0093084C"/>
    <w:rsid w:val="009309D6"/>
    <w:rsid w:val="00930AF8"/>
    <w:rsid w:val="00930C55"/>
    <w:rsid w:val="00931136"/>
    <w:rsid w:val="0093137F"/>
    <w:rsid w:val="0093199C"/>
    <w:rsid w:val="00931CA6"/>
    <w:rsid w:val="00932486"/>
    <w:rsid w:val="00932AC2"/>
    <w:rsid w:val="0093462B"/>
    <w:rsid w:val="00934DD0"/>
    <w:rsid w:val="00935657"/>
    <w:rsid w:val="009357D1"/>
    <w:rsid w:val="00935CF5"/>
    <w:rsid w:val="0093676A"/>
    <w:rsid w:val="00936D0A"/>
    <w:rsid w:val="00936FB8"/>
    <w:rsid w:val="00937083"/>
    <w:rsid w:val="00937DB1"/>
    <w:rsid w:val="00940992"/>
    <w:rsid w:val="00941C14"/>
    <w:rsid w:val="00942A53"/>
    <w:rsid w:val="00942A6C"/>
    <w:rsid w:val="00942B4A"/>
    <w:rsid w:val="00942EC2"/>
    <w:rsid w:val="00943A29"/>
    <w:rsid w:val="00943EE9"/>
    <w:rsid w:val="0094414C"/>
    <w:rsid w:val="009445FB"/>
    <w:rsid w:val="0094480B"/>
    <w:rsid w:val="00944CE9"/>
    <w:rsid w:val="0094565F"/>
    <w:rsid w:val="0094571C"/>
    <w:rsid w:val="00945D1B"/>
    <w:rsid w:val="00945D96"/>
    <w:rsid w:val="00946256"/>
    <w:rsid w:val="00946694"/>
    <w:rsid w:val="00947540"/>
    <w:rsid w:val="0094756A"/>
    <w:rsid w:val="009505A2"/>
    <w:rsid w:val="0095097E"/>
    <w:rsid w:val="00951561"/>
    <w:rsid w:val="00951623"/>
    <w:rsid w:val="0095162D"/>
    <w:rsid w:val="009517FF"/>
    <w:rsid w:val="00951C10"/>
    <w:rsid w:val="009527E4"/>
    <w:rsid w:val="00952C34"/>
    <w:rsid w:val="00953877"/>
    <w:rsid w:val="009549BE"/>
    <w:rsid w:val="00955167"/>
    <w:rsid w:val="0095533F"/>
    <w:rsid w:val="00955506"/>
    <w:rsid w:val="00955A30"/>
    <w:rsid w:val="00956088"/>
    <w:rsid w:val="009564DC"/>
    <w:rsid w:val="009569A1"/>
    <w:rsid w:val="00956C78"/>
    <w:rsid w:val="009579BC"/>
    <w:rsid w:val="00957AF8"/>
    <w:rsid w:val="00957D99"/>
    <w:rsid w:val="0096064D"/>
    <w:rsid w:val="009613E7"/>
    <w:rsid w:val="00961A5D"/>
    <w:rsid w:val="00962530"/>
    <w:rsid w:val="00962841"/>
    <w:rsid w:val="00962A86"/>
    <w:rsid w:val="0096321C"/>
    <w:rsid w:val="00963234"/>
    <w:rsid w:val="0096331B"/>
    <w:rsid w:val="0096363D"/>
    <w:rsid w:val="009638FE"/>
    <w:rsid w:val="0096392A"/>
    <w:rsid w:val="00964BA2"/>
    <w:rsid w:val="009653EA"/>
    <w:rsid w:val="00966459"/>
    <w:rsid w:val="0096671E"/>
    <w:rsid w:val="00966E80"/>
    <w:rsid w:val="00967731"/>
    <w:rsid w:val="009677C5"/>
    <w:rsid w:val="00967968"/>
    <w:rsid w:val="00967E4E"/>
    <w:rsid w:val="00970062"/>
    <w:rsid w:val="009700AE"/>
    <w:rsid w:val="009702B9"/>
    <w:rsid w:val="00970402"/>
    <w:rsid w:val="00970659"/>
    <w:rsid w:val="009710B8"/>
    <w:rsid w:val="009712BA"/>
    <w:rsid w:val="0097183D"/>
    <w:rsid w:val="00971CCC"/>
    <w:rsid w:val="00971EF6"/>
    <w:rsid w:val="009736B4"/>
    <w:rsid w:val="00973743"/>
    <w:rsid w:val="00974049"/>
    <w:rsid w:val="00974152"/>
    <w:rsid w:val="00974366"/>
    <w:rsid w:val="009748AF"/>
    <w:rsid w:val="00974C4D"/>
    <w:rsid w:val="00974D3D"/>
    <w:rsid w:val="009750F0"/>
    <w:rsid w:val="0097535B"/>
    <w:rsid w:val="00975846"/>
    <w:rsid w:val="00975BE6"/>
    <w:rsid w:val="009762D1"/>
    <w:rsid w:val="00976D30"/>
    <w:rsid w:val="00976EB9"/>
    <w:rsid w:val="00977140"/>
    <w:rsid w:val="0097771B"/>
    <w:rsid w:val="0097784F"/>
    <w:rsid w:val="00980000"/>
    <w:rsid w:val="009807CA"/>
    <w:rsid w:val="009807FC"/>
    <w:rsid w:val="009809B7"/>
    <w:rsid w:val="00981451"/>
    <w:rsid w:val="0098187E"/>
    <w:rsid w:val="0098192E"/>
    <w:rsid w:val="00982382"/>
    <w:rsid w:val="00982516"/>
    <w:rsid w:val="00982682"/>
    <w:rsid w:val="009827C6"/>
    <w:rsid w:val="00983173"/>
    <w:rsid w:val="009837DF"/>
    <w:rsid w:val="00984529"/>
    <w:rsid w:val="00984CA7"/>
    <w:rsid w:val="00985108"/>
    <w:rsid w:val="00985329"/>
    <w:rsid w:val="0098539A"/>
    <w:rsid w:val="00985561"/>
    <w:rsid w:val="009858E7"/>
    <w:rsid w:val="00985905"/>
    <w:rsid w:val="00986D76"/>
    <w:rsid w:val="00987159"/>
    <w:rsid w:val="0098739F"/>
    <w:rsid w:val="0098747D"/>
    <w:rsid w:val="009878C1"/>
    <w:rsid w:val="00987C57"/>
    <w:rsid w:val="00987E05"/>
    <w:rsid w:val="00990BA8"/>
    <w:rsid w:val="009912D0"/>
    <w:rsid w:val="00991FF2"/>
    <w:rsid w:val="009924B9"/>
    <w:rsid w:val="00992615"/>
    <w:rsid w:val="00992ACF"/>
    <w:rsid w:val="00993052"/>
    <w:rsid w:val="009935C9"/>
    <w:rsid w:val="00994064"/>
    <w:rsid w:val="00995671"/>
    <w:rsid w:val="00995814"/>
    <w:rsid w:val="00996BF6"/>
    <w:rsid w:val="0099716F"/>
    <w:rsid w:val="009973C0"/>
    <w:rsid w:val="00997888"/>
    <w:rsid w:val="00997EF2"/>
    <w:rsid w:val="00997F00"/>
    <w:rsid w:val="00997F2D"/>
    <w:rsid w:val="00997FE4"/>
    <w:rsid w:val="009A0748"/>
    <w:rsid w:val="009A13EA"/>
    <w:rsid w:val="009A1901"/>
    <w:rsid w:val="009A1E4B"/>
    <w:rsid w:val="009A2281"/>
    <w:rsid w:val="009A2417"/>
    <w:rsid w:val="009A244C"/>
    <w:rsid w:val="009A27CB"/>
    <w:rsid w:val="009A2CCF"/>
    <w:rsid w:val="009A2DC7"/>
    <w:rsid w:val="009A3815"/>
    <w:rsid w:val="009A383F"/>
    <w:rsid w:val="009A3CED"/>
    <w:rsid w:val="009A44D0"/>
    <w:rsid w:val="009A4757"/>
    <w:rsid w:val="009A4920"/>
    <w:rsid w:val="009A4B1B"/>
    <w:rsid w:val="009A4BF9"/>
    <w:rsid w:val="009A512D"/>
    <w:rsid w:val="009A5D76"/>
    <w:rsid w:val="009A61DC"/>
    <w:rsid w:val="009A638B"/>
    <w:rsid w:val="009A6983"/>
    <w:rsid w:val="009A6D43"/>
    <w:rsid w:val="009A71A6"/>
    <w:rsid w:val="009A7500"/>
    <w:rsid w:val="009A75AE"/>
    <w:rsid w:val="009B0557"/>
    <w:rsid w:val="009B07A9"/>
    <w:rsid w:val="009B10B3"/>
    <w:rsid w:val="009B1334"/>
    <w:rsid w:val="009B1B46"/>
    <w:rsid w:val="009B1DBC"/>
    <w:rsid w:val="009B1F3F"/>
    <w:rsid w:val="009B343D"/>
    <w:rsid w:val="009B3737"/>
    <w:rsid w:val="009B45FC"/>
    <w:rsid w:val="009B480B"/>
    <w:rsid w:val="009B4A85"/>
    <w:rsid w:val="009B5CB7"/>
    <w:rsid w:val="009B60BD"/>
    <w:rsid w:val="009B645F"/>
    <w:rsid w:val="009B7523"/>
    <w:rsid w:val="009C0528"/>
    <w:rsid w:val="009C0760"/>
    <w:rsid w:val="009C0C3B"/>
    <w:rsid w:val="009C0ECA"/>
    <w:rsid w:val="009C0FCC"/>
    <w:rsid w:val="009C13BE"/>
    <w:rsid w:val="009C1B79"/>
    <w:rsid w:val="009C2E65"/>
    <w:rsid w:val="009C2E93"/>
    <w:rsid w:val="009C2EAA"/>
    <w:rsid w:val="009C329E"/>
    <w:rsid w:val="009C3AFE"/>
    <w:rsid w:val="009C3D4B"/>
    <w:rsid w:val="009C4268"/>
    <w:rsid w:val="009C4AB3"/>
    <w:rsid w:val="009C551E"/>
    <w:rsid w:val="009C598A"/>
    <w:rsid w:val="009C6396"/>
    <w:rsid w:val="009C675D"/>
    <w:rsid w:val="009C68A0"/>
    <w:rsid w:val="009C79E0"/>
    <w:rsid w:val="009C7F22"/>
    <w:rsid w:val="009D0AA8"/>
    <w:rsid w:val="009D0EFF"/>
    <w:rsid w:val="009D1106"/>
    <w:rsid w:val="009D17AE"/>
    <w:rsid w:val="009D1A6C"/>
    <w:rsid w:val="009D2AF8"/>
    <w:rsid w:val="009D2BE9"/>
    <w:rsid w:val="009D30F9"/>
    <w:rsid w:val="009D3330"/>
    <w:rsid w:val="009D377A"/>
    <w:rsid w:val="009D3969"/>
    <w:rsid w:val="009D3EF1"/>
    <w:rsid w:val="009D491D"/>
    <w:rsid w:val="009D4EED"/>
    <w:rsid w:val="009D4F55"/>
    <w:rsid w:val="009D534D"/>
    <w:rsid w:val="009D5718"/>
    <w:rsid w:val="009D5D19"/>
    <w:rsid w:val="009D6598"/>
    <w:rsid w:val="009D65D1"/>
    <w:rsid w:val="009D73A9"/>
    <w:rsid w:val="009D7E76"/>
    <w:rsid w:val="009E08E1"/>
    <w:rsid w:val="009E0A77"/>
    <w:rsid w:val="009E0CD9"/>
    <w:rsid w:val="009E0E6E"/>
    <w:rsid w:val="009E1096"/>
    <w:rsid w:val="009E1152"/>
    <w:rsid w:val="009E190F"/>
    <w:rsid w:val="009E19A6"/>
    <w:rsid w:val="009E1A0F"/>
    <w:rsid w:val="009E1A89"/>
    <w:rsid w:val="009E1FC3"/>
    <w:rsid w:val="009E2423"/>
    <w:rsid w:val="009E2953"/>
    <w:rsid w:val="009E2D41"/>
    <w:rsid w:val="009E2EDB"/>
    <w:rsid w:val="009E3F0B"/>
    <w:rsid w:val="009E4077"/>
    <w:rsid w:val="009E4DDD"/>
    <w:rsid w:val="009E5634"/>
    <w:rsid w:val="009E5CB3"/>
    <w:rsid w:val="009E5FE0"/>
    <w:rsid w:val="009E637A"/>
    <w:rsid w:val="009E6861"/>
    <w:rsid w:val="009E69E4"/>
    <w:rsid w:val="009E7303"/>
    <w:rsid w:val="009E7537"/>
    <w:rsid w:val="009E75BF"/>
    <w:rsid w:val="009F0192"/>
    <w:rsid w:val="009F1D6A"/>
    <w:rsid w:val="009F207D"/>
    <w:rsid w:val="009F270C"/>
    <w:rsid w:val="009F2AAF"/>
    <w:rsid w:val="009F2D50"/>
    <w:rsid w:val="009F2E90"/>
    <w:rsid w:val="009F3333"/>
    <w:rsid w:val="009F3336"/>
    <w:rsid w:val="009F33B6"/>
    <w:rsid w:val="009F37B7"/>
    <w:rsid w:val="009F3944"/>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1223"/>
    <w:rsid w:val="00A0179F"/>
    <w:rsid w:val="00A01DA0"/>
    <w:rsid w:val="00A022C1"/>
    <w:rsid w:val="00A023D6"/>
    <w:rsid w:val="00A02A9F"/>
    <w:rsid w:val="00A030F1"/>
    <w:rsid w:val="00A0335F"/>
    <w:rsid w:val="00A03405"/>
    <w:rsid w:val="00A041BA"/>
    <w:rsid w:val="00A0443A"/>
    <w:rsid w:val="00A045AF"/>
    <w:rsid w:val="00A04A6A"/>
    <w:rsid w:val="00A051F8"/>
    <w:rsid w:val="00A05809"/>
    <w:rsid w:val="00A05F7C"/>
    <w:rsid w:val="00A06D52"/>
    <w:rsid w:val="00A06DBA"/>
    <w:rsid w:val="00A0742F"/>
    <w:rsid w:val="00A074BD"/>
    <w:rsid w:val="00A075FD"/>
    <w:rsid w:val="00A0774D"/>
    <w:rsid w:val="00A077EC"/>
    <w:rsid w:val="00A07A62"/>
    <w:rsid w:val="00A07CB6"/>
    <w:rsid w:val="00A07FA0"/>
    <w:rsid w:val="00A10EA7"/>
    <w:rsid w:val="00A10F02"/>
    <w:rsid w:val="00A11972"/>
    <w:rsid w:val="00A11BF4"/>
    <w:rsid w:val="00A11C32"/>
    <w:rsid w:val="00A11D95"/>
    <w:rsid w:val="00A11DF7"/>
    <w:rsid w:val="00A1267C"/>
    <w:rsid w:val="00A12769"/>
    <w:rsid w:val="00A13201"/>
    <w:rsid w:val="00A13B59"/>
    <w:rsid w:val="00A13B9E"/>
    <w:rsid w:val="00A13DE9"/>
    <w:rsid w:val="00A146F5"/>
    <w:rsid w:val="00A14914"/>
    <w:rsid w:val="00A14A12"/>
    <w:rsid w:val="00A14E16"/>
    <w:rsid w:val="00A15724"/>
    <w:rsid w:val="00A158C6"/>
    <w:rsid w:val="00A15907"/>
    <w:rsid w:val="00A15D20"/>
    <w:rsid w:val="00A164B4"/>
    <w:rsid w:val="00A168AC"/>
    <w:rsid w:val="00A16E71"/>
    <w:rsid w:val="00A17C14"/>
    <w:rsid w:val="00A20DD1"/>
    <w:rsid w:val="00A20FF8"/>
    <w:rsid w:val="00A21E39"/>
    <w:rsid w:val="00A21E53"/>
    <w:rsid w:val="00A2336E"/>
    <w:rsid w:val="00A23605"/>
    <w:rsid w:val="00A2366C"/>
    <w:rsid w:val="00A23AA9"/>
    <w:rsid w:val="00A23AFD"/>
    <w:rsid w:val="00A23C7B"/>
    <w:rsid w:val="00A23E50"/>
    <w:rsid w:val="00A241F3"/>
    <w:rsid w:val="00A245C2"/>
    <w:rsid w:val="00A245F8"/>
    <w:rsid w:val="00A247C5"/>
    <w:rsid w:val="00A25C2D"/>
    <w:rsid w:val="00A26627"/>
    <w:rsid w:val="00A270C6"/>
    <w:rsid w:val="00A27169"/>
    <w:rsid w:val="00A2718D"/>
    <w:rsid w:val="00A27BDD"/>
    <w:rsid w:val="00A3012C"/>
    <w:rsid w:val="00A30413"/>
    <w:rsid w:val="00A306A9"/>
    <w:rsid w:val="00A30955"/>
    <w:rsid w:val="00A30A8A"/>
    <w:rsid w:val="00A31394"/>
    <w:rsid w:val="00A318FC"/>
    <w:rsid w:val="00A32248"/>
    <w:rsid w:val="00A3289B"/>
    <w:rsid w:val="00A32E4C"/>
    <w:rsid w:val="00A32F83"/>
    <w:rsid w:val="00A333E4"/>
    <w:rsid w:val="00A3352C"/>
    <w:rsid w:val="00A33F2A"/>
    <w:rsid w:val="00A34249"/>
    <w:rsid w:val="00A34450"/>
    <w:rsid w:val="00A34874"/>
    <w:rsid w:val="00A348D4"/>
    <w:rsid w:val="00A34E8A"/>
    <w:rsid w:val="00A35048"/>
    <w:rsid w:val="00A35544"/>
    <w:rsid w:val="00A35991"/>
    <w:rsid w:val="00A36024"/>
    <w:rsid w:val="00A3615E"/>
    <w:rsid w:val="00A3692F"/>
    <w:rsid w:val="00A36DB2"/>
    <w:rsid w:val="00A37939"/>
    <w:rsid w:val="00A37BDE"/>
    <w:rsid w:val="00A37F0C"/>
    <w:rsid w:val="00A40433"/>
    <w:rsid w:val="00A40D6F"/>
    <w:rsid w:val="00A40EA2"/>
    <w:rsid w:val="00A41185"/>
    <w:rsid w:val="00A41B87"/>
    <w:rsid w:val="00A41B97"/>
    <w:rsid w:val="00A41C8B"/>
    <w:rsid w:val="00A42191"/>
    <w:rsid w:val="00A422E2"/>
    <w:rsid w:val="00A43AE1"/>
    <w:rsid w:val="00A44258"/>
    <w:rsid w:val="00A4455B"/>
    <w:rsid w:val="00A44892"/>
    <w:rsid w:val="00A45D59"/>
    <w:rsid w:val="00A463AC"/>
    <w:rsid w:val="00A46542"/>
    <w:rsid w:val="00A46BE8"/>
    <w:rsid w:val="00A46E98"/>
    <w:rsid w:val="00A4769D"/>
    <w:rsid w:val="00A47F09"/>
    <w:rsid w:val="00A507C3"/>
    <w:rsid w:val="00A5086C"/>
    <w:rsid w:val="00A50972"/>
    <w:rsid w:val="00A509D7"/>
    <w:rsid w:val="00A50B9D"/>
    <w:rsid w:val="00A51B10"/>
    <w:rsid w:val="00A52545"/>
    <w:rsid w:val="00A52604"/>
    <w:rsid w:val="00A52F2F"/>
    <w:rsid w:val="00A53002"/>
    <w:rsid w:val="00A5361E"/>
    <w:rsid w:val="00A53724"/>
    <w:rsid w:val="00A53847"/>
    <w:rsid w:val="00A539CA"/>
    <w:rsid w:val="00A54099"/>
    <w:rsid w:val="00A54718"/>
    <w:rsid w:val="00A54BB6"/>
    <w:rsid w:val="00A54BEC"/>
    <w:rsid w:val="00A55672"/>
    <w:rsid w:val="00A557C6"/>
    <w:rsid w:val="00A55E2B"/>
    <w:rsid w:val="00A57107"/>
    <w:rsid w:val="00A5783A"/>
    <w:rsid w:val="00A57913"/>
    <w:rsid w:val="00A579F5"/>
    <w:rsid w:val="00A60252"/>
    <w:rsid w:val="00A61159"/>
    <w:rsid w:val="00A6124C"/>
    <w:rsid w:val="00A61A71"/>
    <w:rsid w:val="00A61D2C"/>
    <w:rsid w:val="00A61E2F"/>
    <w:rsid w:val="00A62515"/>
    <w:rsid w:val="00A625E9"/>
    <w:rsid w:val="00A62C1E"/>
    <w:rsid w:val="00A62E95"/>
    <w:rsid w:val="00A633D0"/>
    <w:rsid w:val="00A635DB"/>
    <w:rsid w:val="00A64531"/>
    <w:rsid w:val="00A65152"/>
    <w:rsid w:val="00A651C9"/>
    <w:rsid w:val="00A656C7"/>
    <w:rsid w:val="00A65754"/>
    <w:rsid w:val="00A659E0"/>
    <w:rsid w:val="00A662B2"/>
    <w:rsid w:val="00A66BC1"/>
    <w:rsid w:val="00A6743F"/>
    <w:rsid w:val="00A6780F"/>
    <w:rsid w:val="00A67E05"/>
    <w:rsid w:val="00A67F31"/>
    <w:rsid w:val="00A704BF"/>
    <w:rsid w:val="00A70776"/>
    <w:rsid w:val="00A708CD"/>
    <w:rsid w:val="00A71084"/>
    <w:rsid w:val="00A7132F"/>
    <w:rsid w:val="00A71541"/>
    <w:rsid w:val="00A71A97"/>
    <w:rsid w:val="00A71BD0"/>
    <w:rsid w:val="00A725E4"/>
    <w:rsid w:val="00A72A7F"/>
    <w:rsid w:val="00A72C3C"/>
    <w:rsid w:val="00A72CCA"/>
    <w:rsid w:val="00A73246"/>
    <w:rsid w:val="00A74C1C"/>
    <w:rsid w:val="00A7508E"/>
    <w:rsid w:val="00A7533D"/>
    <w:rsid w:val="00A75AD4"/>
    <w:rsid w:val="00A75B60"/>
    <w:rsid w:val="00A75EBD"/>
    <w:rsid w:val="00A76C2E"/>
    <w:rsid w:val="00A76FA8"/>
    <w:rsid w:val="00A77694"/>
    <w:rsid w:val="00A80A2D"/>
    <w:rsid w:val="00A8132E"/>
    <w:rsid w:val="00A8136A"/>
    <w:rsid w:val="00A81B64"/>
    <w:rsid w:val="00A82346"/>
    <w:rsid w:val="00A83665"/>
    <w:rsid w:val="00A83926"/>
    <w:rsid w:val="00A83CEF"/>
    <w:rsid w:val="00A83D5D"/>
    <w:rsid w:val="00A84A96"/>
    <w:rsid w:val="00A84C08"/>
    <w:rsid w:val="00A85860"/>
    <w:rsid w:val="00A85C4E"/>
    <w:rsid w:val="00A8687A"/>
    <w:rsid w:val="00A86CE8"/>
    <w:rsid w:val="00A86FC4"/>
    <w:rsid w:val="00A900D2"/>
    <w:rsid w:val="00A90354"/>
    <w:rsid w:val="00A9077A"/>
    <w:rsid w:val="00A90B43"/>
    <w:rsid w:val="00A90CB1"/>
    <w:rsid w:val="00A90D92"/>
    <w:rsid w:val="00A914AC"/>
    <w:rsid w:val="00A917E6"/>
    <w:rsid w:val="00A925BB"/>
    <w:rsid w:val="00A92633"/>
    <w:rsid w:val="00A92A04"/>
    <w:rsid w:val="00A92DB5"/>
    <w:rsid w:val="00A92DC8"/>
    <w:rsid w:val="00A92F50"/>
    <w:rsid w:val="00A92FF5"/>
    <w:rsid w:val="00A9350F"/>
    <w:rsid w:val="00A93A26"/>
    <w:rsid w:val="00A93F53"/>
    <w:rsid w:val="00A940FD"/>
    <w:rsid w:val="00A9438E"/>
    <w:rsid w:val="00A94A4B"/>
    <w:rsid w:val="00A953A3"/>
    <w:rsid w:val="00A95B91"/>
    <w:rsid w:val="00A95CB5"/>
    <w:rsid w:val="00A9626E"/>
    <w:rsid w:val="00A96274"/>
    <w:rsid w:val="00A963CF"/>
    <w:rsid w:val="00A9724B"/>
    <w:rsid w:val="00A97364"/>
    <w:rsid w:val="00A9740D"/>
    <w:rsid w:val="00A97DE0"/>
    <w:rsid w:val="00A97F4C"/>
    <w:rsid w:val="00AA01E3"/>
    <w:rsid w:val="00AA0999"/>
    <w:rsid w:val="00AA1025"/>
    <w:rsid w:val="00AA113E"/>
    <w:rsid w:val="00AA1167"/>
    <w:rsid w:val="00AA1699"/>
    <w:rsid w:val="00AA2235"/>
    <w:rsid w:val="00AA22D0"/>
    <w:rsid w:val="00AA2D40"/>
    <w:rsid w:val="00AA3269"/>
    <w:rsid w:val="00AA3DAB"/>
    <w:rsid w:val="00AA3F6F"/>
    <w:rsid w:val="00AA449D"/>
    <w:rsid w:val="00AA4F20"/>
    <w:rsid w:val="00AA5834"/>
    <w:rsid w:val="00AA61CD"/>
    <w:rsid w:val="00AA6209"/>
    <w:rsid w:val="00AA62C0"/>
    <w:rsid w:val="00AA759F"/>
    <w:rsid w:val="00AA7A69"/>
    <w:rsid w:val="00AA7FEC"/>
    <w:rsid w:val="00AB0123"/>
    <w:rsid w:val="00AB1F1E"/>
    <w:rsid w:val="00AB1FBA"/>
    <w:rsid w:val="00AB29E6"/>
    <w:rsid w:val="00AB3C7A"/>
    <w:rsid w:val="00AB41EC"/>
    <w:rsid w:val="00AB4B36"/>
    <w:rsid w:val="00AB4F19"/>
    <w:rsid w:val="00AB4F86"/>
    <w:rsid w:val="00AB507C"/>
    <w:rsid w:val="00AB515C"/>
    <w:rsid w:val="00AB5262"/>
    <w:rsid w:val="00AB5732"/>
    <w:rsid w:val="00AB5E35"/>
    <w:rsid w:val="00AB6258"/>
    <w:rsid w:val="00AB6750"/>
    <w:rsid w:val="00AB678C"/>
    <w:rsid w:val="00AB6CFA"/>
    <w:rsid w:val="00AB7166"/>
    <w:rsid w:val="00AB78A1"/>
    <w:rsid w:val="00AB7B4A"/>
    <w:rsid w:val="00AB7CEB"/>
    <w:rsid w:val="00AC0282"/>
    <w:rsid w:val="00AC09FA"/>
    <w:rsid w:val="00AC0BA1"/>
    <w:rsid w:val="00AC12D7"/>
    <w:rsid w:val="00AC16BE"/>
    <w:rsid w:val="00AC17B7"/>
    <w:rsid w:val="00AC20EB"/>
    <w:rsid w:val="00AC2A25"/>
    <w:rsid w:val="00AC326A"/>
    <w:rsid w:val="00AC336F"/>
    <w:rsid w:val="00AC389E"/>
    <w:rsid w:val="00AC39E0"/>
    <w:rsid w:val="00AC3D3D"/>
    <w:rsid w:val="00AC415B"/>
    <w:rsid w:val="00AC445C"/>
    <w:rsid w:val="00AC447C"/>
    <w:rsid w:val="00AC4BF6"/>
    <w:rsid w:val="00AC5316"/>
    <w:rsid w:val="00AC53D5"/>
    <w:rsid w:val="00AC5C5E"/>
    <w:rsid w:val="00AC61E1"/>
    <w:rsid w:val="00AC6D7D"/>
    <w:rsid w:val="00AC7348"/>
    <w:rsid w:val="00AC7A1D"/>
    <w:rsid w:val="00AC7EC7"/>
    <w:rsid w:val="00AD0175"/>
    <w:rsid w:val="00AD0C98"/>
    <w:rsid w:val="00AD1157"/>
    <w:rsid w:val="00AD1247"/>
    <w:rsid w:val="00AD1410"/>
    <w:rsid w:val="00AD1C20"/>
    <w:rsid w:val="00AD1C21"/>
    <w:rsid w:val="00AD28BC"/>
    <w:rsid w:val="00AD2C05"/>
    <w:rsid w:val="00AD2DE4"/>
    <w:rsid w:val="00AD3004"/>
    <w:rsid w:val="00AD3A60"/>
    <w:rsid w:val="00AD4197"/>
    <w:rsid w:val="00AD464B"/>
    <w:rsid w:val="00AD4680"/>
    <w:rsid w:val="00AD4827"/>
    <w:rsid w:val="00AD4D62"/>
    <w:rsid w:val="00AD5346"/>
    <w:rsid w:val="00AD5712"/>
    <w:rsid w:val="00AD5B79"/>
    <w:rsid w:val="00AD5CB6"/>
    <w:rsid w:val="00AD6A65"/>
    <w:rsid w:val="00AD7B1E"/>
    <w:rsid w:val="00AD7DE4"/>
    <w:rsid w:val="00AD7E32"/>
    <w:rsid w:val="00AE07D2"/>
    <w:rsid w:val="00AE0E07"/>
    <w:rsid w:val="00AE2A04"/>
    <w:rsid w:val="00AE3037"/>
    <w:rsid w:val="00AE32AE"/>
    <w:rsid w:val="00AE3365"/>
    <w:rsid w:val="00AE3457"/>
    <w:rsid w:val="00AE4213"/>
    <w:rsid w:val="00AE43AE"/>
    <w:rsid w:val="00AE46B8"/>
    <w:rsid w:val="00AE4726"/>
    <w:rsid w:val="00AE4995"/>
    <w:rsid w:val="00AE502C"/>
    <w:rsid w:val="00AE5040"/>
    <w:rsid w:val="00AE5151"/>
    <w:rsid w:val="00AE5FD8"/>
    <w:rsid w:val="00AE6227"/>
    <w:rsid w:val="00AE6389"/>
    <w:rsid w:val="00AE6FDB"/>
    <w:rsid w:val="00AE715E"/>
    <w:rsid w:val="00AE72CD"/>
    <w:rsid w:val="00AF0588"/>
    <w:rsid w:val="00AF08D2"/>
    <w:rsid w:val="00AF09A3"/>
    <w:rsid w:val="00AF0B52"/>
    <w:rsid w:val="00AF1ACA"/>
    <w:rsid w:val="00AF1D01"/>
    <w:rsid w:val="00AF24E2"/>
    <w:rsid w:val="00AF2B2A"/>
    <w:rsid w:val="00AF3269"/>
    <w:rsid w:val="00AF358F"/>
    <w:rsid w:val="00AF3651"/>
    <w:rsid w:val="00AF3ED4"/>
    <w:rsid w:val="00AF40BD"/>
    <w:rsid w:val="00AF491C"/>
    <w:rsid w:val="00AF49B4"/>
    <w:rsid w:val="00AF56D4"/>
    <w:rsid w:val="00AF571B"/>
    <w:rsid w:val="00AF572D"/>
    <w:rsid w:val="00AF578C"/>
    <w:rsid w:val="00AF63CA"/>
    <w:rsid w:val="00AF6411"/>
    <w:rsid w:val="00AF656C"/>
    <w:rsid w:val="00AF6CEC"/>
    <w:rsid w:val="00AF7851"/>
    <w:rsid w:val="00AF79B1"/>
    <w:rsid w:val="00AF7A23"/>
    <w:rsid w:val="00B00010"/>
    <w:rsid w:val="00B00319"/>
    <w:rsid w:val="00B0144F"/>
    <w:rsid w:val="00B0186A"/>
    <w:rsid w:val="00B01AE1"/>
    <w:rsid w:val="00B01DE4"/>
    <w:rsid w:val="00B01E1C"/>
    <w:rsid w:val="00B026A1"/>
    <w:rsid w:val="00B026AE"/>
    <w:rsid w:val="00B02792"/>
    <w:rsid w:val="00B02DE8"/>
    <w:rsid w:val="00B034F8"/>
    <w:rsid w:val="00B035DF"/>
    <w:rsid w:val="00B035E7"/>
    <w:rsid w:val="00B0392A"/>
    <w:rsid w:val="00B04317"/>
    <w:rsid w:val="00B04707"/>
    <w:rsid w:val="00B0483D"/>
    <w:rsid w:val="00B049AE"/>
    <w:rsid w:val="00B05C4F"/>
    <w:rsid w:val="00B05E5E"/>
    <w:rsid w:val="00B06D97"/>
    <w:rsid w:val="00B07650"/>
    <w:rsid w:val="00B079AC"/>
    <w:rsid w:val="00B07A3E"/>
    <w:rsid w:val="00B1096A"/>
    <w:rsid w:val="00B10F32"/>
    <w:rsid w:val="00B114C1"/>
    <w:rsid w:val="00B12520"/>
    <w:rsid w:val="00B131D9"/>
    <w:rsid w:val="00B132AD"/>
    <w:rsid w:val="00B133AE"/>
    <w:rsid w:val="00B13A32"/>
    <w:rsid w:val="00B140FF"/>
    <w:rsid w:val="00B14A71"/>
    <w:rsid w:val="00B1541F"/>
    <w:rsid w:val="00B15449"/>
    <w:rsid w:val="00B15674"/>
    <w:rsid w:val="00B15CD5"/>
    <w:rsid w:val="00B15FC3"/>
    <w:rsid w:val="00B16104"/>
    <w:rsid w:val="00B16280"/>
    <w:rsid w:val="00B1646C"/>
    <w:rsid w:val="00B16C7C"/>
    <w:rsid w:val="00B1758D"/>
    <w:rsid w:val="00B17810"/>
    <w:rsid w:val="00B17F98"/>
    <w:rsid w:val="00B20056"/>
    <w:rsid w:val="00B203D6"/>
    <w:rsid w:val="00B20DDA"/>
    <w:rsid w:val="00B20FAE"/>
    <w:rsid w:val="00B21460"/>
    <w:rsid w:val="00B21885"/>
    <w:rsid w:val="00B222CE"/>
    <w:rsid w:val="00B22496"/>
    <w:rsid w:val="00B22F4F"/>
    <w:rsid w:val="00B23B45"/>
    <w:rsid w:val="00B250B3"/>
    <w:rsid w:val="00B2564A"/>
    <w:rsid w:val="00B25F29"/>
    <w:rsid w:val="00B26961"/>
    <w:rsid w:val="00B26F06"/>
    <w:rsid w:val="00B26FF8"/>
    <w:rsid w:val="00B2733D"/>
    <w:rsid w:val="00B30782"/>
    <w:rsid w:val="00B312DE"/>
    <w:rsid w:val="00B31A65"/>
    <w:rsid w:val="00B320C7"/>
    <w:rsid w:val="00B3286D"/>
    <w:rsid w:val="00B328E3"/>
    <w:rsid w:val="00B32B16"/>
    <w:rsid w:val="00B32BDB"/>
    <w:rsid w:val="00B32FC6"/>
    <w:rsid w:val="00B33883"/>
    <w:rsid w:val="00B341EA"/>
    <w:rsid w:val="00B34231"/>
    <w:rsid w:val="00B34288"/>
    <w:rsid w:val="00B3472B"/>
    <w:rsid w:val="00B3531F"/>
    <w:rsid w:val="00B358B7"/>
    <w:rsid w:val="00B35B1D"/>
    <w:rsid w:val="00B366A3"/>
    <w:rsid w:val="00B36C60"/>
    <w:rsid w:val="00B36E95"/>
    <w:rsid w:val="00B36ED4"/>
    <w:rsid w:val="00B371D6"/>
    <w:rsid w:val="00B37B06"/>
    <w:rsid w:val="00B40884"/>
    <w:rsid w:val="00B40FE9"/>
    <w:rsid w:val="00B41783"/>
    <w:rsid w:val="00B41BB7"/>
    <w:rsid w:val="00B41C44"/>
    <w:rsid w:val="00B42BE1"/>
    <w:rsid w:val="00B42E96"/>
    <w:rsid w:val="00B43A32"/>
    <w:rsid w:val="00B445C8"/>
    <w:rsid w:val="00B445FF"/>
    <w:rsid w:val="00B44727"/>
    <w:rsid w:val="00B44C10"/>
    <w:rsid w:val="00B4527B"/>
    <w:rsid w:val="00B45BAE"/>
    <w:rsid w:val="00B47589"/>
    <w:rsid w:val="00B4792E"/>
    <w:rsid w:val="00B47B13"/>
    <w:rsid w:val="00B47D61"/>
    <w:rsid w:val="00B47E7F"/>
    <w:rsid w:val="00B47F30"/>
    <w:rsid w:val="00B5011A"/>
    <w:rsid w:val="00B505C6"/>
    <w:rsid w:val="00B50698"/>
    <w:rsid w:val="00B50935"/>
    <w:rsid w:val="00B50973"/>
    <w:rsid w:val="00B50DD5"/>
    <w:rsid w:val="00B5130C"/>
    <w:rsid w:val="00B51BB9"/>
    <w:rsid w:val="00B51FEE"/>
    <w:rsid w:val="00B524B6"/>
    <w:rsid w:val="00B52C31"/>
    <w:rsid w:val="00B53127"/>
    <w:rsid w:val="00B5355D"/>
    <w:rsid w:val="00B5395A"/>
    <w:rsid w:val="00B53FB9"/>
    <w:rsid w:val="00B54533"/>
    <w:rsid w:val="00B54958"/>
    <w:rsid w:val="00B54FE5"/>
    <w:rsid w:val="00B55A33"/>
    <w:rsid w:val="00B55F94"/>
    <w:rsid w:val="00B567B8"/>
    <w:rsid w:val="00B57B9C"/>
    <w:rsid w:val="00B60346"/>
    <w:rsid w:val="00B60BEF"/>
    <w:rsid w:val="00B60D93"/>
    <w:rsid w:val="00B61503"/>
    <w:rsid w:val="00B61F9C"/>
    <w:rsid w:val="00B62F64"/>
    <w:rsid w:val="00B62F6D"/>
    <w:rsid w:val="00B63143"/>
    <w:rsid w:val="00B6384F"/>
    <w:rsid w:val="00B63C2A"/>
    <w:rsid w:val="00B64753"/>
    <w:rsid w:val="00B64CCA"/>
    <w:rsid w:val="00B65978"/>
    <w:rsid w:val="00B65F18"/>
    <w:rsid w:val="00B66665"/>
    <w:rsid w:val="00B66D3F"/>
    <w:rsid w:val="00B67D71"/>
    <w:rsid w:val="00B70299"/>
    <w:rsid w:val="00B70390"/>
    <w:rsid w:val="00B7055B"/>
    <w:rsid w:val="00B706AC"/>
    <w:rsid w:val="00B708D9"/>
    <w:rsid w:val="00B70934"/>
    <w:rsid w:val="00B709E6"/>
    <w:rsid w:val="00B716DE"/>
    <w:rsid w:val="00B71987"/>
    <w:rsid w:val="00B720D8"/>
    <w:rsid w:val="00B72DAD"/>
    <w:rsid w:val="00B74932"/>
    <w:rsid w:val="00B74FAF"/>
    <w:rsid w:val="00B75647"/>
    <w:rsid w:val="00B75700"/>
    <w:rsid w:val="00B757D7"/>
    <w:rsid w:val="00B75957"/>
    <w:rsid w:val="00B75C46"/>
    <w:rsid w:val="00B77029"/>
    <w:rsid w:val="00B771AE"/>
    <w:rsid w:val="00B7766C"/>
    <w:rsid w:val="00B77E3F"/>
    <w:rsid w:val="00B77E8F"/>
    <w:rsid w:val="00B800A9"/>
    <w:rsid w:val="00B80830"/>
    <w:rsid w:val="00B809F8"/>
    <w:rsid w:val="00B80D4A"/>
    <w:rsid w:val="00B81C1A"/>
    <w:rsid w:val="00B81DFF"/>
    <w:rsid w:val="00B82257"/>
    <w:rsid w:val="00B82284"/>
    <w:rsid w:val="00B82CBD"/>
    <w:rsid w:val="00B83406"/>
    <w:rsid w:val="00B834C9"/>
    <w:rsid w:val="00B834DC"/>
    <w:rsid w:val="00B83B58"/>
    <w:rsid w:val="00B8422E"/>
    <w:rsid w:val="00B8429E"/>
    <w:rsid w:val="00B84563"/>
    <w:rsid w:val="00B851AB"/>
    <w:rsid w:val="00B8520D"/>
    <w:rsid w:val="00B85798"/>
    <w:rsid w:val="00B85831"/>
    <w:rsid w:val="00B85952"/>
    <w:rsid w:val="00B85FF6"/>
    <w:rsid w:val="00B864F3"/>
    <w:rsid w:val="00B868F8"/>
    <w:rsid w:val="00B86932"/>
    <w:rsid w:val="00B86A33"/>
    <w:rsid w:val="00B86C6B"/>
    <w:rsid w:val="00B86FFD"/>
    <w:rsid w:val="00B876CD"/>
    <w:rsid w:val="00B87FC8"/>
    <w:rsid w:val="00B90906"/>
    <w:rsid w:val="00B90C39"/>
    <w:rsid w:val="00B915C1"/>
    <w:rsid w:val="00B916C4"/>
    <w:rsid w:val="00B91854"/>
    <w:rsid w:val="00B91BD6"/>
    <w:rsid w:val="00B91F2C"/>
    <w:rsid w:val="00B92B2C"/>
    <w:rsid w:val="00B933FB"/>
    <w:rsid w:val="00B9348E"/>
    <w:rsid w:val="00B93635"/>
    <w:rsid w:val="00B940C3"/>
    <w:rsid w:val="00B94D5A"/>
    <w:rsid w:val="00B95158"/>
    <w:rsid w:val="00B952F9"/>
    <w:rsid w:val="00B9580D"/>
    <w:rsid w:val="00B95F0D"/>
    <w:rsid w:val="00B96118"/>
    <w:rsid w:val="00B964C9"/>
    <w:rsid w:val="00B96B52"/>
    <w:rsid w:val="00B96BCC"/>
    <w:rsid w:val="00BA0C70"/>
    <w:rsid w:val="00BA0DA5"/>
    <w:rsid w:val="00BA164B"/>
    <w:rsid w:val="00BA214A"/>
    <w:rsid w:val="00BA2D98"/>
    <w:rsid w:val="00BA308B"/>
    <w:rsid w:val="00BA30DA"/>
    <w:rsid w:val="00BA3F5F"/>
    <w:rsid w:val="00BA453B"/>
    <w:rsid w:val="00BA486E"/>
    <w:rsid w:val="00BA4C58"/>
    <w:rsid w:val="00BA50A1"/>
    <w:rsid w:val="00BA55DA"/>
    <w:rsid w:val="00BA58A9"/>
    <w:rsid w:val="00BA5911"/>
    <w:rsid w:val="00BA693A"/>
    <w:rsid w:val="00BA699F"/>
    <w:rsid w:val="00BA7767"/>
    <w:rsid w:val="00BA7AED"/>
    <w:rsid w:val="00BB0146"/>
    <w:rsid w:val="00BB0162"/>
    <w:rsid w:val="00BB022E"/>
    <w:rsid w:val="00BB09DB"/>
    <w:rsid w:val="00BB1080"/>
    <w:rsid w:val="00BB1163"/>
    <w:rsid w:val="00BB1442"/>
    <w:rsid w:val="00BB42CD"/>
    <w:rsid w:val="00BB488E"/>
    <w:rsid w:val="00BB4982"/>
    <w:rsid w:val="00BB4ED1"/>
    <w:rsid w:val="00BB5071"/>
    <w:rsid w:val="00BB60AC"/>
    <w:rsid w:val="00BB61D1"/>
    <w:rsid w:val="00BB64C4"/>
    <w:rsid w:val="00BB6519"/>
    <w:rsid w:val="00BB6D9F"/>
    <w:rsid w:val="00BB7125"/>
    <w:rsid w:val="00BB7332"/>
    <w:rsid w:val="00BB74BE"/>
    <w:rsid w:val="00BB76D4"/>
    <w:rsid w:val="00BB7C42"/>
    <w:rsid w:val="00BB7E9D"/>
    <w:rsid w:val="00BC0135"/>
    <w:rsid w:val="00BC09E4"/>
    <w:rsid w:val="00BC0A7F"/>
    <w:rsid w:val="00BC0F7D"/>
    <w:rsid w:val="00BC171B"/>
    <w:rsid w:val="00BC273D"/>
    <w:rsid w:val="00BC37EE"/>
    <w:rsid w:val="00BC3956"/>
    <w:rsid w:val="00BC3B6C"/>
    <w:rsid w:val="00BC44B9"/>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573"/>
    <w:rsid w:val="00BD25B2"/>
    <w:rsid w:val="00BD2CA5"/>
    <w:rsid w:val="00BD37CF"/>
    <w:rsid w:val="00BD3D9D"/>
    <w:rsid w:val="00BD452C"/>
    <w:rsid w:val="00BD45E1"/>
    <w:rsid w:val="00BD4B60"/>
    <w:rsid w:val="00BD5F9A"/>
    <w:rsid w:val="00BD640F"/>
    <w:rsid w:val="00BD68C9"/>
    <w:rsid w:val="00BD69A5"/>
    <w:rsid w:val="00BD6B22"/>
    <w:rsid w:val="00BD72B3"/>
    <w:rsid w:val="00BD7325"/>
    <w:rsid w:val="00BD7C66"/>
    <w:rsid w:val="00BD7C6D"/>
    <w:rsid w:val="00BD7ECD"/>
    <w:rsid w:val="00BE0034"/>
    <w:rsid w:val="00BE0F05"/>
    <w:rsid w:val="00BE1131"/>
    <w:rsid w:val="00BE1471"/>
    <w:rsid w:val="00BE2D7B"/>
    <w:rsid w:val="00BE3B51"/>
    <w:rsid w:val="00BE40BC"/>
    <w:rsid w:val="00BE418D"/>
    <w:rsid w:val="00BE4B40"/>
    <w:rsid w:val="00BE4C28"/>
    <w:rsid w:val="00BE5BCA"/>
    <w:rsid w:val="00BE5FF6"/>
    <w:rsid w:val="00BE6496"/>
    <w:rsid w:val="00BE6600"/>
    <w:rsid w:val="00BE6CC8"/>
    <w:rsid w:val="00BE6D03"/>
    <w:rsid w:val="00BE6EFC"/>
    <w:rsid w:val="00BE726F"/>
    <w:rsid w:val="00BE737E"/>
    <w:rsid w:val="00BE7438"/>
    <w:rsid w:val="00BE7656"/>
    <w:rsid w:val="00BE7666"/>
    <w:rsid w:val="00BE7950"/>
    <w:rsid w:val="00BE7A2A"/>
    <w:rsid w:val="00BE7DB2"/>
    <w:rsid w:val="00BF0346"/>
    <w:rsid w:val="00BF0D12"/>
    <w:rsid w:val="00BF0E53"/>
    <w:rsid w:val="00BF1826"/>
    <w:rsid w:val="00BF2967"/>
    <w:rsid w:val="00BF29CD"/>
    <w:rsid w:val="00BF2A61"/>
    <w:rsid w:val="00BF3B4C"/>
    <w:rsid w:val="00BF4612"/>
    <w:rsid w:val="00BF492E"/>
    <w:rsid w:val="00BF4B84"/>
    <w:rsid w:val="00BF4C17"/>
    <w:rsid w:val="00BF4CA7"/>
    <w:rsid w:val="00BF4F49"/>
    <w:rsid w:val="00BF5173"/>
    <w:rsid w:val="00BF742C"/>
    <w:rsid w:val="00BF7796"/>
    <w:rsid w:val="00BF7BF2"/>
    <w:rsid w:val="00C003E0"/>
    <w:rsid w:val="00C009AE"/>
    <w:rsid w:val="00C00A5D"/>
    <w:rsid w:val="00C00BF3"/>
    <w:rsid w:val="00C0148E"/>
    <w:rsid w:val="00C01738"/>
    <w:rsid w:val="00C01813"/>
    <w:rsid w:val="00C01846"/>
    <w:rsid w:val="00C02106"/>
    <w:rsid w:val="00C02596"/>
    <w:rsid w:val="00C02BCD"/>
    <w:rsid w:val="00C033B8"/>
    <w:rsid w:val="00C037BE"/>
    <w:rsid w:val="00C04B21"/>
    <w:rsid w:val="00C04C6A"/>
    <w:rsid w:val="00C05428"/>
    <w:rsid w:val="00C06334"/>
    <w:rsid w:val="00C06727"/>
    <w:rsid w:val="00C0691D"/>
    <w:rsid w:val="00C072E5"/>
    <w:rsid w:val="00C1085E"/>
    <w:rsid w:val="00C1094E"/>
    <w:rsid w:val="00C10A28"/>
    <w:rsid w:val="00C10BAB"/>
    <w:rsid w:val="00C10FE4"/>
    <w:rsid w:val="00C11098"/>
    <w:rsid w:val="00C12159"/>
    <w:rsid w:val="00C1357D"/>
    <w:rsid w:val="00C141C7"/>
    <w:rsid w:val="00C14B4B"/>
    <w:rsid w:val="00C15CA5"/>
    <w:rsid w:val="00C15D1D"/>
    <w:rsid w:val="00C16159"/>
    <w:rsid w:val="00C16B9E"/>
    <w:rsid w:val="00C16C39"/>
    <w:rsid w:val="00C16D34"/>
    <w:rsid w:val="00C17822"/>
    <w:rsid w:val="00C178A8"/>
    <w:rsid w:val="00C179DB"/>
    <w:rsid w:val="00C21576"/>
    <w:rsid w:val="00C21DCA"/>
    <w:rsid w:val="00C2286A"/>
    <w:rsid w:val="00C240B1"/>
    <w:rsid w:val="00C2420E"/>
    <w:rsid w:val="00C24A3C"/>
    <w:rsid w:val="00C24E5D"/>
    <w:rsid w:val="00C258A2"/>
    <w:rsid w:val="00C25983"/>
    <w:rsid w:val="00C25C51"/>
    <w:rsid w:val="00C25C6B"/>
    <w:rsid w:val="00C26249"/>
    <w:rsid w:val="00C2744F"/>
    <w:rsid w:val="00C27828"/>
    <w:rsid w:val="00C27F50"/>
    <w:rsid w:val="00C30236"/>
    <w:rsid w:val="00C30726"/>
    <w:rsid w:val="00C30F63"/>
    <w:rsid w:val="00C31694"/>
    <w:rsid w:val="00C320A8"/>
    <w:rsid w:val="00C3286C"/>
    <w:rsid w:val="00C32951"/>
    <w:rsid w:val="00C32FBE"/>
    <w:rsid w:val="00C33079"/>
    <w:rsid w:val="00C330F5"/>
    <w:rsid w:val="00C338AB"/>
    <w:rsid w:val="00C33B4B"/>
    <w:rsid w:val="00C33FFC"/>
    <w:rsid w:val="00C34304"/>
    <w:rsid w:val="00C34539"/>
    <w:rsid w:val="00C34588"/>
    <w:rsid w:val="00C34660"/>
    <w:rsid w:val="00C348F5"/>
    <w:rsid w:val="00C36AFF"/>
    <w:rsid w:val="00C3712F"/>
    <w:rsid w:val="00C372D4"/>
    <w:rsid w:val="00C37C84"/>
    <w:rsid w:val="00C37D76"/>
    <w:rsid w:val="00C40160"/>
    <w:rsid w:val="00C40165"/>
    <w:rsid w:val="00C403CA"/>
    <w:rsid w:val="00C40D00"/>
    <w:rsid w:val="00C40E2D"/>
    <w:rsid w:val="00C42862"/>
    <w:rsid w:val="00C4293D"/>
    <w:rsid w:val="00C42992"/>
    <w:rsid w:val="00C429D8"/>
    <w:rsid w:val="00C429D9"/>
    <w:rsid w:val="00C42ECC"/>
    <w:rsid w:val="00C43616"/>
    <w:rsid w:val="00C43916"/>
    <w:rsid w:val="00C44026"/>
    <w:rsid w:val="00C44713"/>
    <w:rsid w:val="00C447A5"/>
    <w:rsid w:val="00C44DAB"/>
    <w:rsid w:val="00C44EBA"/>
    <w:rsid w:val="00C45018"/>
    <w:rsid w:val="00C45146"/>
    <w:rsid w:val="00C4517E"/>
    <w:rsid w:val="00C45231"/>
    <w:rsid w:val="00C45A07"/>
    <w:rsid w:val="00C45B46"/>
    <w:rsid w:val="00C45EB8"/>
    <w:rsid w:val="00C461A9"/>
    <w:rsid w:val="00C46B36"/>
    <w:rsid w:val="00C479D7"/>
    <w:rsid w:val="00C47C68"/>
    <w:rsid w:val="00C47DA2"/>
    <w:rsid w:val="00C500A6"/>
    <w:rsid w:val="00C5033A"/>
    <w:rsid w:val="00C5169B"/>
    <w:rsid w:val="00C51847"/>
    <w:rsid w:val="00C51F6C"/>
    <w:rsid w:val="00C521DA"/>
    <w:rsid w:val="00C527F2"/>
    <w:rsid w:val="00C52972"/>
    <w:rsid w:val="00C5299F"/>
    <w:rsid w:val="00C52F97"/>
    <w:rsid w:val="00C53030"/>
    <w:rsid w:val="00C53117"/>
    <w:rsid w:val="00C538FF"/>
    <w:rsid w:val="00C53928"/>
    <w:rsid w:val="00C53C15"/>
    <w:rsid w:val="00C545A9"/>
    <w:rsid w:val="00C54839"/>
    <w:rsid w:val="00C55AF7"/>
    <w:rsid w:val="00C55BC5"/>
    <w:rsid w:val="00C5657E"/>
    <w:rsid w:val="00C565E1"/>
    <w:rsid w:val="00C56743"/>
    <w:rsid w:val="00C56FF6"/>
    <w:rsid w:val="00C57048"/>
    <w:rsid w:val="00C57550"/>
    <w:rsid w:val="00C57648"/>
    <w:rsid w:val="00C57A35"/>
    <w:rsid w:val="00C57A7A"/>
    <w:rsid w:val="00C6095E"/>
    <w:rsid w:val="00C616EA"/>
    <w:rsid w:val="00C616EC"/>
    <w:rsid w:val="00C617B6"/>
    <w:rsid w:val="00C61805"/>
    <w:rsid w:val="00C61DD5"/>
    <w:rsid w:val="00C61F47"/>
    <w:rsid w:val="00C62040"/>
    <w:rsid w:val="00C6241D"/>
    <w:rsid w:val="00C62442"/>
    <w:rsid w:val="00C62946"/>
    <w:rsid w:val="00C62AF5"/>
    <w:rsid w:val="00C62DA7"/>
    <w:rsid w:val="00C62F40"/>
    <w:rsid w:val="00C630A4"/>
    <w:rsid w:val="00C63217"/>
    <w:rsid w:val="00C637E0"/>
    <w:rsid w:val="00C64364"/>
    <w:rsid w:val="00C64484"/>
    <w:rsid w:val="00C655D9"/>
    <w:rsid w:val="00C663CA"/>
    <w:rsid w:val="00C666B8"/>
    <w:rsid w:val="00C66F25"/>
    <w:rsid w:val="00C672D2"/>
    <w:rsid w:val="00C67CAA"/>
    <w:rsid w:val="00C67FA9"/>
    <w:rsid w:val="00C7004E"/>
    <w:rsid w:val="00C707D1"/>
    <w:rsid w:val="00C714EA"/>
    <w:rsid w:val="00C716BB"/>
    <w:rsid w:val="00C72833"/>
    <w:rsid w:val="00C728AB"/>
    <w:rsid w:val="00C72B36"/>
    <w:rsid w:val="00C744C8"/>
    <w:rsid w:val="00C744F7"/>
    <w:rsid w:val="00C74AF2"/>
    <w:rsid w:val="00C74F64"/>
    <w:rsid w:val="00C754A0"/>
    <w:rsid w:val="00C75850"/>
    <w:rsid w:val="00C75A72"/>
    <w:rsid w:val="00C75F05"/>
    <w:rsid w:val="00C7654E"/>
    <w:rsid w:val="00C76BBD"/>
    <w:rsid w:val="00C77303"/>
    <w:rsid w:val="00C779CC"/>
    <w:rsid w:val="00C77ADE"/>
    <w:rsid w:val="00C77D6C"/>
    <w:rsid w:val="00C77D9B"/>
    <w:rsid w:val="00C8033B"/>
    <w:rsid w:val="00C80C63"/>
    <w:rsid w:val="00C813E0"/>
    <w:rsid w:val="00C8220F"/>
    <w:rsid w:val="00C82C74"/>
    <w:rsid w:val="00C82D02"/>
    <w:rsid w:val="00C83065"/>
    <w:rsid w:val="00C83310"/>
    <w:rsid w:val="00C83754"/>
    <w:rsid w:val="00C83CDB"/>
    <w:rsid w:val="00C84518"/>
    <w:rsid w:val="00C8476E"/>
    <w:rsid w:val="00C84CCC"/>
    <w:rsid w:val="00C84F69"/>
    <w:rsid w:val="00C85B7D"/>
    <w:rsid w:val="00C86255"/>
    <w:rsid w:val="00C8751B"/>
    <w:rsid w:val="00C87875"/>
    <w:rsid w:val="00C87A27"/>
    <w:rsid w:val="00C87F0D"/>
    <w:rsid w:val="00C90B79"/>
    <w:rsid w:val="00C90BDB"/>
    <w:rsid w:val="00C91228"/>
    <w:rsid w:val="00C914C6"/>
    <w:rsid w:val="00C914DD"/>
    <w:rsid w:val="00C91A84"/>
    <w:rsid w:val="00C91BCB"/>
    <w:rsid w:val="00C91BCE"/>
    <w:rsid w:val="00C91C18"/>
    <w:rsid w:val="00C92606"/>
    <w:rsid w:val="00C92C2D"/>
    <w:rsid w:val="00C931DC"/>
    <w:rsid w:val="00C933BF"/>
    <w:rsid w:val="00C9366E"/>
    <w:rsid w:val="00C93F40"/>
    <w:rsid w:val="00C94317"/>
    <w:rsid w:val="00C943A7"/>
    <w:rsid w:val="00C94447"/>
    <w:rsid w:val="00C9491E"/>
    <w:rsid w:val="00C94AE4"/>
    <w:rsid w:val="00C964D7"/>
    <w:rsid w:val="00C972DA"/>
    <w:rsid w:val="00C97E15"/>
    <w:rsid w:val="00CA0329"/>
    <w:rsid w:val="00CA05BF"/>
    <w:rsid w:val="00CA0869"/>
    <w:rsid w:val="00CA093D"/>
    <w:rsid w:val="00CA136E"/>
    <w:rsid w:val="00CA1A5D"/>
    <w:rsid w:val="00CA22FB"/>
    <w:rsid w:val="00CA29CC"/>
    <w:rsid w:val="00CA2C6B"/>
    <w:rsid w:val="00CA3B96"/>
    <w:rsid w:val="00CA3D0C"/>
    <w:rsid w:val="00CA420C"/>
    <w:rsid w:val="00CA5A02"/>
    <w:rsid w:val="00CA5C17"/>
    <w:rsid w:val="00CA6A5B"/>
    <w:rsid w:val="00CA6A82"/>
    <w:rsid w:val="00CA6CBE"/>
    <w:rsid w:val="00CA6DD6"/>
    <w:rsid w:val="00CA702C"/>
    <w:rsid w:val="00CA729B"/>
    <w:rsid w:val="00CA760D"/>
    <w:rsid w:val="00CA7B9B"/>
    <w:rsid w:val="00CB008F"/>
    <w:rsid w:val="00CB0BB7"/>
    <w:rsid w:val="00CB0C54"/>
    <w:rsid w:val="00CB14AB"/>
    <w:rsid w:val="00CB14C9"/>
    <w:rsid w:val="00CB2460"/>
    <w:rsid w:val="00CB2BA7"/>
    <w:rsid w:val="00CB36DE"/>
    <w:rsid w:val="00CB46C3"/>
    <w:rsid w:val="00CB4F2A"/>
    <w:rsid w:val="00CB5596"/>
    <w:rsid w:val="00CB5727"/>
    <w:rsid w:val="00CB5883"/>
    <w:rsid w:val="00CB62E3"/>
    <w:rsid w:val="00CB66E7"/>
    <w:rsid w:val="00CB7A42"/>
    <w:rsid w:val="00CB7B37"/>
    <w:rsid w:val="00CB7BFF"/>
    <w:rsid w:val="00CB7F14"/>
    <w:rsid w:val="00CC019B"/>
    <w:rsid w:val="00CC01DC"/>
    <w:rsid w:val="00CC06CB"/>
    <w:rsid w:val="00CC0E88"/>
    <w:rsid w:val="00CC14AE"/>
    <w:rsid w:val="00CC237A"/>
    <w:rsid w:val="00CC2FFB"/>
    <w:rsid w:val="00CC34FD"/>
    <w:rsid w:val="00CC3A55"/>
    <w:rsid w:val="00CC3A72"/>
    <w:rsid w:val="00CC3C6C"/>
    <w:rsid w:val="00CC57FE"/>
    <w:rsid w:val="00CC593E"/>
    <w:rsid w:val="00CC5A6A"/>
    <w:rsid w:val="00CC6F24"/>
    <w:rsid w:val="00CC7C4D"/>
    <w:rsid w:val="00CD0A54"/>
    <w:rsid w:val="00CD1928"/>
    <w:rsid w:val="00CD1C6B"/>
    <w:rsid w:val="00CD2064"/>
    <w:rsid w:val="00CD2C4E"/>
    <w:rsid w:val="00CD382D"/>
    <w:rsid w:val="00CD44D2"/>
    <w:rsid w:val="00CD4658"/>
    <w:rsid w:val="00CD5724"/>
    <w:rsid w:val="00CD57C4"/>
    <w:rsid w:val="00CD5878"/>
    <w:rsid w:val="00CD5CB5"/>
    <w:rsid w:val="00CD6276"/>
    <w:rsid w:val="00CD65C4"/>
    <w:rsid w:val="00CD6732"/>
    <w:rsid w:val="00CD70D9"/>
    <w:rsid w:val="00CD7516"/>
    <w:rsid w:val="00CD7595"/>
    <w:rsid w:val="00CD77F6"/>
    <w:rsid w:val="00CD7CBC"/>
    <w:rsid w:val="00CD7D01"/>
    <w:rsid w:val="00CD7E4D"/>
    <w:rsid w:val="00CD7F77"/>
    <w:rsid w:val="00CE039D"/>
    <w:rsid w:val="00CE0BB3"/>
    <w:rsid w:val="00CE1A6D"/>
    <w:rsid w:val="00CE243F"/>
    <w:rsid w:val="00CE28EC"/>
    <w:rsid w:val="00CE2DEC"/>
    <w:rsid w:val="00CE36CF"/>
    <w:rsid w:val="00CE3A8D"/>
    <w:rsid w:val="00CE403C"/>
    <w:rsid w:val="00CE483B"/>
    <w:rsid w:val="00CE5457"/>
    <w:rsid w:val="00CE59A9"/>
    <w:rsid w:val="00CE63B5"/>
    <w:rsid w:val="00CE63FE"/>
    <w:rsid w:val="00CE73F4"/>
    <w:rsid w:val="00CE741C"/>
    <w:rsid w:val="00CF032B"/>
    <w:rsid w:val="00CF08EE"/>
    <w:rsid w:val="00CF0E00"/>
    <w:rsid w:val="00CF1135"/>
    <w:rsid w:val="00CF2408"/>
    <w:rsid w:val="00CF2773"/>
    <w:rsid w:val="00CF29EA"/>
    <w:rsid w:val="00CF3A73"/>
    <w:rsid w:val="00CF3C4B"/>
    <w:rsid w:val="00CF46C8"/>
    <w:rsid w:val="00CF4CFF"/>
    <w:rsid w:val="00CF4ED4"/>
    <w:rsid w:val="00CF5AEC"/>
    <w:rsid w:val="00CF5D53"/>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23C"/>
    <w:rsid w:val="00D0241D"/>
    <w:rsid w:val="00D02C24"/>
    <w:rsid w:val="00D02DF0"/>
    <w:rsid w:val="00D02E4D"/>
    <w:rsid w:val="00D02F33"/>
    <w:rsid w:val="00D033C0"/>
    <w:rsid w:val="00D04553"/>
    <w:rsid w:val="00D05BDF"/>
    <w:rsid w:val="00D0629C"/>
    <w:rsid w:val="00D0631E"/>
    <w:rsid w:val="00D0650E"/>
    <w:rsid w:val="00D06F6A"/>
    <w:rsid w:val="00D07103"/>
    <w:rsid w:val="00D10153"/>
    <w:rsid w:val="00D1037C"/>
    <w:rsid w:val="00D10876"/>
    <w:rsid w:val="00D10A60"/>
    <w:rsid w:val="00D11024"/>
    <w:rsid w:val="00D1174D"/>
    <w:rsid w:val="00D11FDF"/>
    <w:rsid w:val="00D12DC2"/>
    <w:rsid w:val="00D13946"/>
    <w:rsid w:val="00D13A65"/>
    <w:rsid w:val="00D15216"/>
    <w:rsid w:val="00D157C9"/>
    <w:rsid w:val="00D15B23"/>
    <w:rsid w:val="00D15B31"/>
    <w:rsid w:val="00D160D9"/>
    <w:rsid w:val="00D16848"/>
    <w:rsid w:val="00D17757"/>
    <w:rsid w:val="00D17A3F"/>
    <w:rsid w:val="00D17B7E"/>
    <w:rsid w:val="00D2093A"/>
    <w:rsid w:val="00D20D96"/>
    <w:rsid w:val="00D20E41"/>
    <w:rsid w:val="00D215F8"/>
    <w:rsid w:val="00D21B69"/>
    <w:rsid w:val="00D2228C"/>
    <w:rsid w:val="00D227E5"/>
    <w:rsid w:val="00D22B92"/>
    <w:rsid w:val="00D23C94"/>
    <w:rsid w:val="00D23DDF"/>
    <w:rsid w:val="00D23FC3"/>
    <w:rsid w:val="00D242D7"/>
    <w:rsid w:val="00D2495F"/>
    <w:rsid w:val="00D24C08"/>
    <w:rsid w:val="00D25266"/>
    <w:rsid w:val="00D25495"/>
    <w:rsid w:val="00D2550B"/>
    <w:rsid w:val="00D2656E"/>
    <w:rsid w:val="00D26721"/>
    <w:rsid w:val="00D2684F"/>
    <w:rsid w:val="00D26B13"/>
    <w:rsid w:val="00D272FB"/>
    <w:rsid w:val="00D2767D"/>
    <w:rsid w:val="00D30096"/>
    <w:rsid w:val="00D30750"/>
    <w:rsid w:val="00D30DB2"/>
    <w:rsid w:val="00D316E4"/>
    <w:rsid w:val="00D31CDD"/>
    <w:rsid w:val="00D32FC4"/>
    <w:rsid w:val="00D33030"/>
    <w:rsid w:val="00D33457"/>
    <w:rsid w:val="00D3347E"/>
    <w:rsid w:val="00D338A8"/>
    <w:rsid w:val="00D338F2"/>
    <w:rsid w:val="00D33A3C"/>
    <w:rsid w:val="00D3670D"/>
    <w:rsid w:val="00D37166"/>
    <w:rsid w:val="00D37279"/>
    <w:rsid w:val="00D37522"/>
    <w:rsid w:val="00D37A99"/>
    <w:rsid w:val="00D40097"/>
    <w:rsid w:val="00D40914"/>
    <w:rsid w:val="00D40A15"/>
    <w:rsid w:val="00D41AE6"/>
    <w:rsid w:val="00D424E7"/>
    <w:rsid w:val="00D426AB"/>
    <w:rsid w:val="00D42AA1"/>
    <w:rsid w:val="00D42AE4"/>
    <w:rsid w:val="00D431FB"/>
    <w:rsid w:val="00D43473"/>
    <w:rsid w:val="00D43798"/>
    <w:rsid w:val="00D43935"/>
    <w:rsid w:val="00D43AF1"/>
    <w:rsid w:val="00D446D9"/>
    <w:rsid w:val="00D44E89"/>
    <w:rsid w:val="00D45D25"/>
    <w:rsid w:val="00D460D9"/>
    <w:rsid w:val="00D462F1"/>
    <w:rsid w:val="00D467E3"/>
    <w:rsid w:val="00D46D53"/>
    <w:rsid w:val="00D47153"/>
    <w:rsid w:val="00D47B99"/>
    <w:rsid w:val="00D47D0F"/>
    <w:rsid w:val="00D50234"/>
    <w:rsid w:val="00D50797"/>
    <w:rsid w:val="00D507D6"/>
    <w:rsid w:val="00D509A2"/>
    <w:rsid w:val="00D50B89"/>
    <w:rsid w:val="00D512E3"/>
    <w:rsid w:val="00D51572"/>
    <w:rsid w:val="00D51C27"/>
    <w:rsid w:val="00D5208B"/>
    <w:rsid w:val="00D528D8"/>
    <w:rsid w:val="00D529F0"/>
    <w:rsid w:val="00D52A2E"/>
    <w:rsid w:val="00D52E1C"/>
    <w:rsid w:val="00D530F7"/>
    <w:rsid w:val="00D5325E"/>
    <w:rsid w:val="00D53FA1"/>
    <w:rsid w:val="00D554AE"/>
    <w:rsid w:val="00D557BC"/>
    <w:rsid w:val="00D557C7"/>
    <w:rsid w:val="00D55A22"/>
    <w:rsid w:val="00D55C61"/>
    <w:rsid w:val="00D55DC6"/>
    <w:rsid w:val="00D56238"/>
    <w:rsid w:val="00D56C0D"/>
    <w:rsid w:val="00D56C49"/>
    <w:rsid w:val="00D57085"/>
    <w:rsid w:val="00D5779A"/>
    <w:rsid w:val="00D57B33"/>
    <w:rsid w:val="00D57D7D"/>
    <w:rsid w:val="00D60688"/>
    <w:rsid w:val="00D608A5"/>
    <w:rsid w:val="00D61185"/>
    <w:rsid w:val="00D61B3C"/>
    <w:rsid w:val="00D62410"/>
    <w:rsid w:val="00D62825"/>
    <w:rsid w:val="00D62F02"/>
    <w:rsid w:val="00D62F26"/>
    <w:rsid w:val="00D63071"/>
    <w:rsid w:val="00D631A0"/>
    <w:rsid w:val="00D63638"/>
    <w:rsid w:val="00D64090"/>
    <w:rsid w:val="00D64C70"/>
    <w:rsid w:val="00D651D4"/>
    <w:rsid w:val="00D653E8"/>
    <w:rsid w:val="00D65454"/>
    <w:rsid w:val="00D6599B"/>
    <w:rsid w:val="00D65C2A"/>
    <w:rsid w:val="00D66754"/>
    <w:rsid w:val="00D678DB"/>
    <w:rsid w:val="00D70288"/>
    <w:rsid w:val="00D70C1A"/>
    <w:rsid w:val="00D70E08"/>
    <w:rsid w:val="00D7145E"/>
    <w:rsid w:val="00D716FC"/>
    <w:rsid w:val="00D71FCA"/>
    <w:rsid w:val="00D7255A"/>
    <w:rsid w:val="00D7311A"/>
    <w:rsid w:val="00D738D6"/>
    <w:rsid w:val="00D73A25"/>
    <w:rsid w:val="00D7424B"/>
    <w:rsid w:val="00D744D0"/>
    <w:rsid w:val="00D74763"/>
    <w:rsid w:val="00D74DDB"/>
    <w:rsid w:val="00D74FBA"/>
    <w:rsid w:val="00D750DC"/>
    <w:rsid w:val="00D755EB"/>
    <w:rsid w:val="00D7564C"/>
    <w:rsid w:val="00D7580B"/>
    <w:rsid w:val="00D75D73"/>
    <w:rsid w:val="00D75E92"/>
    <w:rsid w:val="00D76A89"/>
    <w:rsid w:val="00D76AC8"/>
    <w:rsid w:val="00D77C81"/>
    <w:rsid w:val="00D802BA"/>
    <w:rsid w:val="00D80A64"/>
    <w:rsid w:val="00D80BD5"/>
    <w:rsid w:val="00D80C5E"/>
    <w:rsid w:val="00D81342"/>
    <w:rsid w:val="00D81B83"/>
    <w:rsid w:val="00D81DCB"/>
    <w:rsid w:val="00D82117"/>
    <w:rsid w:val="00D82521"/>
    <w:rsid w:val="00D829CD"/>
    <w:rsid w:val="00D82C8B"/>
    <w:rsid w:val="00D82CA0"/>
    <w:rsid w:val="00D831B5"/>
    <w:rsid w:val="00D834B2"/>
    <w:rsid w:val="00D838D9"/>
    <w:rsid w:val="00D8439F"/>
    <w:rsid w:val="00D857E8"/>
    <w:rsid w:val="00D85A1D"/>
    <w:rsid w:val="00D86403"/>
    <w:rsid w:val="00D86450"/>
    <w:rsid w:val="00D864AF"/>
    <w:rsid w:val="00D87276"/>
    <w:rsid w:val="00D87289"/>
    <w:rsid w:val="00D87309"/>
    <w:rsid w:val="00D8773B"/>
    <w:rsid w:val="00D87E00"/>
    <w:rsid w:val="00D87EEE"/>
    <w:rsid w:val="00D90396"/>
    <w:rsid w:val="00D908A5"/>
    <w:rsid w:val="00D91064"/>
    <w:rsid w:val="00D912B0"/>
    <w:rsid w:val="00D9134D"/>
    <w:rsid w:val="00D91405"/>
    <w:rsid w:val="00D919C4"/>
    <w:rsid w:val="00D91BC1"/>
    <w:rsid w:val="00D91E98"/>
    <w:rsid w:val="00D91F55"/>
    <w:rsid w:val="00D9248D"/>
    <w:rsid w:val="00D92A6D"/>
    <w:rsid w:val="00D92C7D"/>
    <w:rsid w:val="00D92D20"/>
    <w:rsid w:val="00D93D86"/>
    <w:rsid w:val="00D95463"/>
    <w:rsid w:val="00D9670C"/>
    <w:rsid w:val="00D96C11"/>
    <w:rsid w:val="00D96CDD"/>
    <w:rsid w:val="00D96F4E"/>
    <w:rsid w:val="00D97011"/>
    <w:rsid w:val="00D97541"/>
    <w:rsid w:val="00D97C63"/>
    <w:rsid w:val="00DA005B"/>
    <w:rsid w:val="00DA05BE"/>
    <w:rsid w:val="00DA082A"/>
    <w:rsid w:val="00DA0925"/>
    <w:rsid w:val="00DA0FEF"/>
    <w:rsid w:val="00DA2B14"/>
    <w:rsid w:val="00DA33A5"/>
    <w:rsid w:val="00DA3734"/>
    <w:rsid w:val="00DA43E4"/>
    <w:rsid w:val="00DA4702"/>
    <w:rsid w:val="00DA4A40"/>
    <w:rsid w:val="00DA4C43"/>
    <w:rsid w:val="00DA4FE9"/>
    <w:rsid w:val="00DA5137"/>
    <w:rsid w:val="00DA5CFC"/>
    <w:rsid w:val="00DA5DA5"/>
    <w:rsid w:val="00DA6363"/>
    <w:rsid w:val="00DA6832"/>
    <w:rsid w:val="00DA6D9F"/>
    <w:rsid w:val="00DA7A03"/>
    <w:rsid w:val="00DA7BE9"/>
    <w:rsid w:val="00DB01C3"/>
    <w:rsid w:val="00DB077A"/>
    <w:rsid w:val="00DB0F93"/>
    <w:rsid w:val="00DB1818"/>
    <w:rsid w:val="00DB1E4B"/>
    <w:rsid w:val="00DB2778"/>
    <w:rsid w:val="00DB2D49"/>
    <w:rsid w:val="00DB2FAC"/>
    <w:rsid w:val="00DB4672"/>
    <w:rsid w:val="00DB486A"/>
    <w:rsid w:val="00DB5078"/>
    <w:rsid w:val="00DB551C"/>
    <w:rsid w:val="00DB5CA6"/>
    <w:rsid w:val="00DB5F5D"/>
    <w:rsid w:val="00DB6991"/>
    <w:rsid w:val="00DB6F1F"/>
    <w:rsid w:val="00DB7F80"/>
    <w:rsid w:val="00DC0718"/>
    <w:rsid w:val="00DC13FD"/>
    <w:rsid w:val="00DC1CA1"/>
    <w:rsid w:val="00DC2B6C"/>
    <w:rsid w:val="00DC309B"/>
    <w:rsid w:val="00DC31DD"/>
    <w:rsid w:val="00DC32DA"/>
    <w:rsid w:val="00DC3903"/>
    <w:rsid w:val="00DC3AD3"/>
    <w:rsid w:val="00DC3C92"/>
    <w:rsid w:val="00DC3CA4"/>
    <w:rsid w:val="00DC4095"/>
    <w:rsid w:val="00DC4225"/>
    <w:rsid w:val="00DC4816"/>
    <w:rsid w:val="00DC4DA2"/>
    <w:rsid w:val="00DC5147"/>
    <w:rsid w:val="00DC525E"/>
    <w:rsid w:val="00DC52A1"/>
    <w:rsid w:val="00DC545D"/>
    <w:rsid w:val="00DC5521"/>
    <w:rsid w:val="00DC61E5"/>
    <w:rsid w:val="00DC6BAC"/>
    <w:rsid w:val="00DC7018"/>
    <w:rsid w:val="00DC71AA"/>
    <w:rsid w:val="00DC7231"/>
    <w:rsid w:val="00DD0513"/>
    <w:rsid w:val="00DD09B6"/>
    <w:rsid w:val="00DD11F0"/>
    <w:rsid w:val="00DD12DA"/>
    <w:rsid w:val="00DD16C5"/>
    <w:rsid w:val="00DD170F"/>
    <w:rsid w:val="00DD2581"/>
    <w:rsid w:val="00DD3533"/>
    <w:rsid w:val="00DD3A73"/>
    <w:rsid w:val="00DD4021"/>
    <w:rsid w:val="00DD5846"/>
    <w:rsid w:val="00DD60B2"/>
    <w:rsid w:val="00DD6534"/>
    <w:rsid w:val="00DD6617"/>
    <w:rsid w:val="00DD699C"/>
    <w:rsid w:val="00DD7298"/>
    <w:rsid w:val="00DD7839"/>
    <w:rsid w:val="00DD788D"/>
    <w:rsid w:val="00DE042D"/>
    <w:rsid w:val="00DE05EE"/>
    <w:rsid w:val="00DE17F7"/>
    <w:rsid w:val="00DE1B2B"/>
    <w:rsid w:val="00DE260F"/>
    <w:rsid w:val="00DE39D0"/>
    <w:rsid w:val="00DE51A1"/>
    <w:rsid w:val="00DE521E"/>
    <w:rsid w:val="00DE525B"/>
    <w:rsid w:val="00DE5962"/>
    <w:rsid w:val="00DE60D0"/>
    <w:rsid w:val="00DE628D"/>
    <w:rsid w:val="00DE7274"/>
    <w:rsid w:val="00DE7A38"/>
    <w:rsid w:val="00DF036F"/>
    <w:rsid w:val="00DF042B"/>
    <w:rsid w:val="00DF04EC"/>
    <w:rsid w:val="00DF0D81"/>
    <w:rsid w:val="00DF0E4E"/>
    <w:rsid w:val="00DF165A"/>
    <w:rsid w:val="00DF1A14"/>
    <w:rsid w:val="00DF1A4E"/>
    <w:rsid w:val="00DF1CDD"/>
    <w:rsid w:val="00DF1D31"/>
    <w:rsid w:val="00DF1EB6"/>
    <w:rsid w:val="00DF1FE2"/>
    <w:rsid w:val="00DF226C"/>
    <w:rsid w:val="00DF2B1F"/>
    <w:rsid w:val="00DF2D63"/>
    <w:rsid w:val="00DF3409"/>
    <w:rsid w:val="00DF3525"/>
    <w:rsid w:val="00DF3C42"/>
    <w:rsid w:val="00DF3EAF"/>
    <w:rsid w:val="00DF4BAC"/>
    <w:rsid w:val="00DF54D1"/>
    <w:rsid w:val="00DF5CCA"/>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523"/>
    <w:rsid w:val="00E04692"/>
    <w:rsid w:val="00E04CC9"/>
    <w:rsid w:val="00E054D9"/>
    <w:rsid w:val="00E0606A"/>
    <w:rsid w:val="00E06FA9"/>
    <w:rsid w:val="00E07407"/>
    <w:rsid w:val="00E07AE1"/>
    <w:rsid w:val="00E101EF"/>
    <w:rsid w:val="00E10A38"/>
    <w:rsid w:val="00E10FC1"/>
    <w:rsid w:val="00E11B9A"/>
    <w:rsid w:val="00E11DB2"/>
    <w:rsid w:val="00E12540"/>
    <w:rsid w:val="00E12652"/>
    <w:rsid w:val="00E12B71"/>
    <w:rsid w:val="00E13585"/>
    <w:rsid w:val="00E135AE"/>
    <w:rsid w:val="00E14032"/>
    <w:rsid w:val="00E14A62"/>
    <w:rsid w:val="00E14B01"/>
    <w:rsid w:val="00E15037"/>
    <w:rsid w:val="00E150FE"/>
    <w:rsid w:val="00E1512A"/>
    <w:rsid w:val="00E15210"/>
    <w:rsid w:val="00E17554"/>
    <w:rsid w:val="00E17724"/>
    <w:rsid w:val="00E17BCA"/>
    <w:rsid w:val="00E17C46"/>
    <w:rsid w:val="00E20D04"/>
    <w:rsid w:val="00E20DC5"/>
    <w:rsid w:val="00E21573"/>
    <w:rsid w:val="00E21C44"/>
    <w:rsid w:val="00E2208B"/>
    <w:rsid w:val="00E22398"/>
    <w:rsid w:val="00E2245E"/>
    <w:rsid w:val="00E2263A"/>
    <w:rsid w:val="00E229C2"/>
    <w:rsid w:val="00E22CA5"/>
    <w:rsid w:val="00E23165"/>
    <w:rsid w:val="00E23B61"/>
    <w:rsid w:val="00E24DF7"/>
    <w:rsid w:val="00E255D9"/>
    <w:rsid w:val="00E25A20"/>
    <w:rsid w:val="00E26305"/>
    <w:rsid w:val="00E26A37"/>
    <w:rsid w:val="00E27B0D"/>
    <w:rsid w:val="00E27CB2"/>
    <w:rsid w:val="00E27E91"/>
    <w:rsid w:val="00E3047F"/>
    <w:rsid w:val="00E306DF"/>
    <w:rsid w:val="00E30E12"/>
    <w:rsid w:val="00E30F34"/>
    <w:rsid w:val="00E3123E"/>
    <w:rsid w:val="00E317A7"/>
    <w:rsid w:val="00E324F9"/>
    <w:rsid w:val="00E32A42"/>
    <w:rsid w:val="00E32BF2"/>
    <w:rsid w:val="00E32E14"/>
    <w:rsid w:val="00E34104"/>
    <w:rsid w:val="00E3475E"/>
    <w:rsid w:val="00E3491A"/>
    <w:rsid w:val="00E36236"/>
    <w:rsid w:val="00E366D9"/>
    <w:rsid w:val="00E37077"/>
    <w:rsid w:val="00E37FDD"/>
    <w:rsid w:val="00E41210"/>
    <w:rsid w:val="00E41F07"/>
    <w:rsid w:val="00E4207D"/>
    <w:rsid w:val="00E426E3"/>
    <w:rsid w:val="00E428A7"/>
    <w:rsid w:val="00E43345"/>
    <w:rsid w:val="00E43507"/>
    <w:rsid w:val="00E439CD"/>
    <w:rsid w:val="00E44158"/>
    <w:rsid w:val="00E445C2"/>
    <w:rsid w:val="00E4489A"/>
    <w:rsid w:val="00E44DB6"/>
    <w:rsid w:val="00E451E9"/>
    <w:rsid w:val="00E45262"/>
    <w:rsid w:val="00E4567C"/>
    <w:rsid w:val="00E46370"/>
    <w:rsid w:val="00E464AA"/>
    <w:rsid w:val="00E467AD"/>
    <w:rsid w:val="00E467D4"/>
    <w:rsid w:val="00E46A1C"/>
    <w:rsid w:val="00E46AAF"/>
    <w:rsid w:val="00E47A64"/>
    <w:rsid w:val="00E47F1E"/>
    <w:rsid w:val="00E5035B"/>
    <w:rsid w:val="00E517FE"/>
    <w:rsid w:val="00E51C99"/>
    <w:rsid w:val="00E51EF0"/>
    <w:rsid w:val="00E520AF"/>
    <w:rsid w:val="00E5220F"/>
    <w:rsid w:val="00E527EF"/>
    <w:rsid w:val="00E5291A"/>
    <w:rsid w:val="00E5315A"/>
    <w:rsid w:val="00E53ED4"/>
    <w:rsid w:val="00E54057"/>
    <w:rsid w:val="00E541C6"/>
    <w:rsid w:val="00E54913"/>
    <w:rsid w:val="00E54A4C"/>
    <w:rsid w:val="00E55547"/>
    <w:rsid w:val="00E5663E"/>
    <w:rsid w:val="00E578F6"/>
    <w:rsid w:val="00E57F5B"/>
    <w:rsid w:val="00E60407"/>
    <w:rsid w:val="00E604D7"/>
    <w:rsid w:val="00E611FE"/>
    <w:rsid w:val="00E61908"/>
    <w:rsid w:val="00E61982"/>
    <w:rsid w:val="00E61AEB"/>
    <w:rsid w:val="00E61B3A"/>
    <w:rsid w:val="00E620CB"/>
    <w:rsid w:val="00E62CFE"/>
    <w:rsid w:val="00E65304"/>
    <w:rsid w:val="00E657FE"/>
    <w:rsid w:val="00E66191"/>
    <w:rsid w:val="00E668EA"/>
    <w:rsid w:val="00E66A0D"/>
    <w:rsid w:val="00E674C2"/>
    <w:rsid w:val="00E675BA"/>
    <w:rsid w:val="00E6760D"/>
    <w:rsid w:val="00E70631"/>
    <w:rsid w:val="00E7153C"/>
    <w:rsid w:val="00E71BB7"/>
    <w:rsid w:val="00E72120"/>
    <w:rsid w:val="00E7214F"/>
    <w:rsid w:val="00E72266"/>
    <w:rsid w:val="00E72AC4"/>
    <w:rsid w:val="00E72F69"/>
    <w:rsid w:val="00E73A47"/>
    <w:rsid w:val="00E73C8D"/>
    <w:rsid w:val="00E73DDC"/>
    <w:rsid w:val="00E74031"/>
    <w:rsid w:val="00E7452A"/>
    <w:rsid w:val="00E74C6C"/>
    <w:rsid w:val="00E75375"/>
    <w:rsid w:val="00E7625D"/>
    <w:rsid w:val="00E76409"/>
    <w:rsid w:val="00E76694"/>
    <w:rsid w:val="00E7683A"/>
    <w:rsid w:val="00E770C1"/>
    <w:rsid w:val="00E77315"/>
    <w:rsid w:val="00E77645"/>
    <w:rsid w:val="00E77ACB"/>
    <w:rsid w:val="00E77AD7"/>
    <w:rsid w:val="00E77F3A"/>
    <w:rsid w:val="00E807A9"/>
    <w:rsid w:val="00E80EED"/>
    <w:rsid w:val="00E81026"/>
    <w:rsid w:val="00E81545"/>
    <w:rsid w:val="00E8163E"/>
    <w:rsid w:val="00E816CA"/>
    <w:rsid w:val="00E818F9"/>
    <w:rsid w:val="00E821FE"/>
    <w:rsid w:val="00E8261E"/>
    <w:rsid w:val="00E82967"/>
    <w:rsid w:val="00E82BEB"/>
    <w:rsid w:val="00E82D81"/>
    <w:rsid w:val="00E8317F"/>
    <w:rsid w:val="00E83C42"/>
    <w:rsid w:val="00E84000"/>
    <w:rsid w:val="00E84731"/>
    <w:rsid w:val="00E8545B"/>
    <w:rsid w:val="00E85B50"/>
    <w:rsid w:val="00E8604F"/>
    <w:rsid w:val="00E86720"/>
    <w:rsid w:val="00E87047"/>
    <w:rsid w:val="00E87AB0"/>
    <w:rsid w:val="00E87C3F"/>
    <w:rsid w:val="00E87D15"/>
    <w:rsid w:val="00E87E91"/>
    <w:rsid w:val="00E87F6D"/>
    <w:rsid w:val="00E907E1"/>
    <w:rsid w:val="00E90932"/>
    <w:rsid w:val="00E90FEF"/>
    <w:rsid w:val="00E91296"/>
    <w:rsid w:val="00E916F7"/>
    <w:rsid w:val="00E91877"/>
    <w:rsid w:val="00E91895"/>
    <w:rsid w:val="00E91FB4"/>
    <w:rsid w:val="00E92268"/>
    <w:rsid w:val="00E924D5"/>
    <w:rsid w:val="00E933F7"/>
    <w:rsid w:val="00E93CDC"/>
    <w:rsid w:val="00E9415C"/>
    <w:rsid w:val="00E945F7"/>
    <w:rsid w:val="00E946A0"/>
    <w:rsid w:val="00E94A51"/>
    <w:rsid w:val="00E94F2D"/>
    <w:rsid w:val="00E9568B"/>
    <w:rsid w:val="00E95754"/>
    <w:rsid w:val="00E96361"/>
    <w:rsid w:val="00E96FC2"/>
    <w:rsid w:val="00E9746C"/>
    <w:rsid w:val="00E97933"/>
    <w:rsid w:val="00EA022E"/>
    <w:rsid w:val="00EA0754"/>
    <w:rsid w:val="00EA0BFA"/>
    <w:rsid w:val="00EA0D1A"/>
    <w:rsid w:val="00EA16FB"/>
    <w:rsid w:val="00EA18BC"/>
    <w:rsid w:val="00EA19BD"/>
    <w:rsid w:val="00EA1F90"/>
    <w:rsid w:val="00EA29A9"/>
    <w:rsid w:val="00EA2BF5"/>
    <w:rsid w:val="00EA308C"/>
    <w:rsid w:val="00EA3275"/>
    <w:rsid w:val="00EA426F"/>
    <w:rsid w:val="00EA4459"/>
    <w:rsid w:val="00EA44F2"/>
    <w:rsid w:val="00EA53FC"/>
    <w:rsid w:val="00EA554B"/>
    <w:rsid w:val="00EA6538"/>
    <w:rsid w:val="00EA6751"/>
    <w:rsid w:val="00EA6CBB"/>
    <w:rsid w:val="00EA6D48"/>
    <w:rsid w:val="00EA6FF3"/>
    <w:rsid w:val="00EA70F5"/>
    <w:rsid w:val="00EA7321"/>
    <w:rsid w:val="00EA7D25"/>
    <w:rsid w:val="00EB01E4"/>
    <w:rsid w:val="00EB070E"/>
    <w:rsid w:val="00EB07EA"/>
    <w:rsid w:val="00EB07FF"/>
    <w:rsid w:val="00EB0B01"/>
    <w:rsid w:val="00EB10EC"/>
    <w:rsid w:val="00EB1829"/>
    <w:rsid w:val="00EB221A"/>
    <w:rsid w:val="00EB263B"/>
    <w:rsid w:val="00EB2AF4"/>
    <w:rsid w:val="00EB2DEB"/>
    <w:rsid w:val="00EB2E9F"/>
    <w:rsid w:val="00EB311F"/>
    <w:rsid w:val="00EB36DE"/>
    <w:rsid w:val="00EB399A"/>
    <w:rsid w:val="00EB3EC1"/>
    <w:rsid w:val="00EB5286"/>
    <w:rsid w:val="00EB58D6"/>
    <w:rsid w:val="00EB5AA9"/>
    <w:rsid w:val="00EB61D8"/>
    <w:rsid w:val="00EB6837"/>
    <w:rsid w:val="00EB7DA3"/>
    <w:rsid w:val="00EB7F23"/>
    <w:rsid w:val="00EC02C6"/>
    <w:rsid w:val="00EC0B0F"/>
    <w:rsid w:val="00EC1622"/>
    <w:rsid w:val="00EC1A5A"/>
    <w:rsid w:val="00EC1D98"/>
    <w:rsid w:val="00EC227F"/>
    <w:rsid w:val="00EC2353"/>
    <w:rsid w:val="00EC28D6"/>
    <w:rsid w:val="00EC2E35"/>
    <w:rsid w:val="00EC31FB"/>
    <w:rsid w:val="00EC3341"/>
    <w:rsid w:val="00EC36F1"/>
    <w:rsid w:val="00EC473E"/>
    <w:rsid w:val="00EC49C2"/>
    <w:rsid w:val="00EC4A25"/>
    <w:rsid w:val="00EC578A"/>
    <w:rsid w:val="00EC5D62"/>
    <w:rsid w:val="00EC5E96"/>
    <w:rsid w:val="00EC60B8"/>
    <w:rsid w:val="00EC62D6"/>
    <w:rsid w:val="00EC6475"/>
    <w:rsid w:val="00EC65BA"/>
    <w:rsid w:val="00EC6612"/>
    <w:rsid w:val="00EC6A82"/>
    <w:rsid w:val="00EC72E4"/>
    <w:rsid w:val="00EC7814"/>
    <w:rsid w:val="00EC7E3D"/>
    <w:rsid w:val="00EC7ED9"/>
    <w:rsid w:val="00ED0147"/>
    <w:rsid w:val="00ED0394"/>
    <w:rsid w:val="00ED0678"/>
    <w:rsid w:val="00ED074B"/>
    <w:rsid w:val="00ED095F"/>
    <w:rsid w:val="00ED0C15"/>
    <w:rsid w:val="00ED0D2A"/>
    <w:rsid w:val="00ED0E01"/>
    <w:rsid w:val="00ED1AEC"/>
    <w:rsid w:val="00ED25BC"/>
    <w:rsid w:val="00ED2867"/>
    <w:rsid w:val="00ED2A64"/>
    <w:rsid w:val="00ED2F1B"/>
    <w:rsid w:val="00ED3075"/>
    <w:rsid w:val="00ED345E"/>
    <w:rsid w:val="00ED4874"/>
    <w:rsid w:val="00ED4C03"/>
    <w:rsid w:val="00ED4CC0"/>
    <w:rsid w:val="00ED4CEF"/>
    <w:rsid w:val="00ED5ED3"/>
    <w:rsid w:val="00ED6C7B"/>
    <w:rsid w:val="00ED6E81"/>
    <w:rsid w:val="00ED7313"/>
    <w:rsid w:val="00ED744C"/>
    <w:rsid w:val="00ED77A0"/>
    <w:rsid w:val="00ED7C74"/>
    <w:rsid w:val="00ED7E2F"/>
    <w:rsid w:val="00ED7F82"/>
    <w:rsid w:val="00ED7FA3"/>
    <w:rsid w:val="00EE037D"/>
    <w:rsid w:val="00EE0A98"/>
    <w:rsid w:val="00EE11B0"/>
    <w:rsid w:val="00EE188A"/>
    <w:rsid w:val="00EE2229"/>
    <w:rsid w:val="00EE2446"/>
    <w:rsid w:val="00EE2619"/>
    <w:rsid w:val="00EE3CD3"/>
    <w:rsid w:val="00EE4D26"/>
    <w:rsid w:val="00EE50AB"/>
    <w:rsid w:val="00EE5E21"/>
    <w:rsid w:val="00EE62D0"/>
    <w:rsid w:val="00EE683F"/>
    <w:rsid w:val="00EE6850"/>
    <w:rsid w:val="00EE68EE"/>
    <w:rsid w:val="00EE712C"/>
    <w:rsid w:val="00EF07B4"/>
    <w:rsid w:val="00EF168D"/>
    <w:rsid w:val="00EF28EA"/>
    <w:rsid w:val="00EF2988"/>
    <w:rsid w:val="00EF29E1"/>
    <w:rsid w:val="00EF2C23"/>
    <w:rsid w:val="00EF2E0A"/>
    <w:rsid w:val="00EF3047"/>
    <w:rsid w:val="00EF3CC5"/>
    <w:rsid w:val="00EF3E3A"/>
    <w:rsid w:val="00EF4022"/>
    <w:rsid w:val="00EF52C9"/>
    <w:rsid w:val="00EF56EC"/>
    <w:rsid w:val="00EF5780"/>
    <w:rsid w:val="00EF59AD"/>
    <w:rsid w:val="00EF6013"/>
    <w:rsid w:val="00EF6B93"/>
    <w:rsid w:val="00EF77FA"/>
    <w:rsid w:val="00F008EA"/>
    <w:rsid w:val="00F00DEF"/>
    <w:rsid w:val="00F00E2A"/>
    <w:rsid w:val="00F010C2"/>
    <w:rsid w:val="00F01AB4"/>
    <w:rsid w:val="00F01D9A"/>
    <w:rsid w:val="00F01E5D"/>
    <w:rsid w:val="00F024FD"/>
    <w:rsid w:val="00F025A2"/>
    <w:rsid w:val="00F02606"/>
    <w:rsid w:val="00F026F9"/>
    <w:rsid w:val="00F02E2A"/>
    <w:rsid w:val="00F033B1"/>
    <w:rsid w:val="00F03417"/>
    <w:rsid w:val="00F03CE8"/>
    <w:rsid w:val="00F0407C"/>
    <w:rsid w:val="00F04712"/>
    <w:rsid w:val="00F0479E"/>
    <w:rsid w:val="00F05128"/>
    <w:rsid w:val="00F052A9"/>
    <w:rsid w:val="00F05DAE"/>
    <w:rsid w:val="00F05F1C"/>
    <w:rsid w:val="00F063D1"/>
    <w:rsid w:val="00F0648D"/>
    <w:rsid w:val="00F06EA8"/>
    <w:rsid w:val="00F076F2"/>
    <w:rsid w:val="00F10382"/>
    <w:rsid w:val="00F103C9"/>
    <w:rsid w:val="00F11095"/>
    <w:rsid w:val="00F115EA"/>
    <w:rsid w:val="00F11B4A"/>
    <w:rsid w:val="00F120B2"/>
    <w:rsid w:val="00F122D6"/>
    <w:rsid w:val="00F12FB5"/>
    <w:rsid w:val="00F145E0"/>
    <w:rsid w:val="00F149F5"/>
    <w:rsid w:val="00F14D72"/>
    <w:rsid w:val="00F15122"/>
    <w:rsid w:val="00F15430"/>
    <w:rsid w:val="00F1551E"/>
    <w:rsid w:val="00F16E56"/>
    <w:rsid w:val="00F174EE"/>
    <w:rsid w:val="00F17828"/>
    <w:rsid w:val="00F17B3F"/>
    <w:rsid w:val="00F204AC"/>
    <w:rsid w:val="00F20AC0"/>
    <w:rsid w:val="00F20B66"/>
    <w:rsid w:val="00F20D9F"/>
    <w:rsid w:val="00F20FF0"/>
    <w:rsid w:val="00F21221"/>
    <w:rsid w:val="00F21230"/>
    <w:rsid w:val="00F215B1"/>
    <w:rsid w:val="00F222C4"/>
    <w:rsid w:val="00F224C9"/>
    <w:rsid w:val="00F22B79"/>
    <w:rsid w:val="00F22D09"/>
    <w:rsid w:val="00F22EC7"/>
    <w:rsid w:val="00F22F57"/>
    <w:rsid w:val="00F23280"/>
    <w:rsid w:val="00F23721"/>
    <w:rsid w:val="00F24628"/>
    <w:rsid w:val="00F24827"/>
    <w:rsid w:val="00F257ED"/>
    <w:rsid w:val="00F25AB6"/>
    <w:rsid w:val="00F25D51"/>
    <w:rsid w:val="00F264D7"/>
    <w:rsid w:val="00F26CF7"/>
    <w:rsid w:val="00F27003"/>
    <w:rsid w:val="00F27805"/>
    <w:rsid w:val="00F27F54"/>
    <w:rsid w:val="00F30D25"/>
    <w:rsid w:val="00F3184A"/>
    <w:rsid w:val="00F31D6F"/>
    <w:rsid w:val="00F32108"/>
    <w:rsid w:val="00F322A5"/>
    <w:rsid w:val="00F32844"/>
    <w:rsid w:val="00F32B60"/>
    <w:rsid w:val="00F32C10"/>
    <w:rsid w:val="00F3318F"/>
    <w:rsid w:val="00F344E4"/>
    <w:rsid w:val="00F345A5"/>
    <w:rsid w:val="00F34A01"/>
    <w:rsid w:val="00F34B6F"/>
    <w:rsid w:val="00F352C4"/>
    <w:rsid w:val="00F36699"/>
    <w:rsid w:val="00F369C3"/>
    <w:rsid w:val="00F36F2B"/>
    <w:rsid w:val="00F37056"/>
    <w:rsid w:val="00F37D4D"/>
    <w:rsid w:val="00F40B6A"/>
    <w:rsid w:val="00F40EF9"/>
    <w:rsid w:val="00F41A2A"/>
    <w:rsid w:val="00F422B5"/>
    <w:rsid w:val="00F428A0"/>
    <w:rsid w:val="00F42E8F"/>
    <w:rsid w:val="00F43698"/>
    <w:rsid w:val="00F43FBE"/>
    <w:rsid w:val="00F44133"/>
    <w:rsid w:val="00F44351"/>
    <w:rsid w:val="00F4468E"/>
    <w:rsid w:val="00F4492A"/>
    <w:rsid w:val="00F4568D"/>
    <w:rsid w:val="00F46E23"/>
    <w:rsid w:val="00F47D87"/>
    <w:rsid w:val="00F47FCC"/>
    <w:rsid w:val="00F50994"/>
    <w:rsid w:val="00F50A0F"/>
    <w:rsid w:val="00F50C8C"/>
    <w:rsid w:val="00F511F2"/>
    <w:rsid w:val="00F51DFA"/>
    <w:rsid w:val="00F51F56"/>
    <w:rsid w:val="00F52161"/>
    <w:rsid w:val="00F52951"/>
    <w:rsid w:val="00F5343A"/>
    <w:rsid w:val="00F53D87"/>
    <w:rsid w:val="00F544D9"/>
    <w:rsid w:val="00F549B3"/>
    <w:rsid w:val="00F54E20"/>
    <w:rsid w:val="00F55088"/>
    <w:rsid w:val="00F55340"/>
    <w:rsid w:val="00F56246"/>
    <w:rsid w:val="00F567A2"/>
    <w:rsid w:val="00F56B2B"/>
    <w:rsid w:val="00F56DDA"/>
    <w:rsid w:val="00F57856"/>
    <w:rsid w:val="00F57E37"/>
    <w:rsid w:val="00F6021D"/>
    <w:rsid w:val="00F60320"/>
    <w:rsid w:val="00F612BD"/>
    <w:rsid w:val="00F61430"/>
    <w:rsid w:val="00F619E5"/>
    <w:rsid w:val="00F61A07"/>
    <w:rsid w:val="00F61A3A"/>
    <w:rsid w:val="00F61DF8"/>
    <w:rsid w:val="00F62183"/>
    <w:rsid w:val="00F621E5"/>
    <w:rsid w:val="00F62768"/>
    <w:rsid w:val="00F62E3E"/>
    <w:rsid w:val="00F63339"/>
    <w:rsid w:val="00F639BA"/>
    <w:rsid w:val="00F63AE5"/>
    <w:rsid w:val="00F648EB"/>
    <w:rsid w:val="00F64B58"/>
    <w:rsid w:val="00F64EF1"/>
    <w:rsid w:val="00F650DD"/>
    <w:rsid w:val="00F65164"/>
    <w:rsid w:val="00F653B8"/>
    <w:rsid w:val="00F65B42"/>
    <w:rsid w:val="00F65C86"/>
    <w:rsid w:val="00F66774"/>
    <w:rsid w:val="00F67153"/>
    <w:rsid w:val="00F6797C"/>
    <w:rsid w:val="00F706F8"/>
    <w:rsid w:val="00F7093F"/>
    <w:rsid w:val="00F71051"/>
    <w:rsid w:val="00F717CC"/>
    <w:rsid w:val="00F71998"/>
    <w:rsid w:val="00F71BED"/>
    <w:rsid w:val="00F721F7"/>
    <w:rsid w:val="00F72225"/>
    <w:rsid w:val="00F72505"/>
    <w:rsid w:val="00F728AB"/>
    <w:rsid w:val="00F728BC"/>
    <w:rsid w:val="00F72E89"/>
    <w:rsid w:val="00F72FF6"/>
    <w:rsid w:val="00F7302E"/>
    <w:rsid w:val="00F73988"/>
    <w:rsid w:val="00F7426A"/>
    <w:rsid w:val="00F74733"/>
    <w:rsid w:val="00F74B84"/>
    <w:rsid w:val="00F75EF0"/>
    <w:rsid w:val="00F763A6"/>
    <w:rsid w:val="00F76428"/>
    <w:rsid w:val="00F765EB"/>
    <w:rsid w:val="00F76FC3"/>
    <w:rsid w:val="00F773E7"/>
    <w:rsid w:val="00F77844"/>
    <w:rsid w:val="00F7784A"/>
    <w:rsid w:val="00F77901"/>
    <w:rsid w:val="00F77D90"/>
    <w:rsid w:val="00F802A6"/>
    <w:rsid w:val="00F80C4C"/>
    <w:rsid w:val="00F80C52"/>
    <w:rsid w:val="00F80E43"/>
    <w:rsid w:val="00F81391"/>
    <w:rsid w:val="00F8195C"/>
    <w:rsid w:val="00F81DA6"/>
    <w:rsid w:val="00F81F00"/>
    <w:rsid w:val="00F821F7"/>
    <w:rsid w:val="00F82392"/>
    <w:rsid w:val="00F8243C"/>
    <w:rsid w:val="00F82DAC"/>
    <w:rsid w:val="00F83118"/>
    <w:rsid w:val="00F83284"/>
    <w:rsid w:val="00F83323"/>
    <w:rsid w:val="00F83F52"/>
    <w:rsid w:val="00F84225"/>
    <w:rsid w:val="00F84945"/>
    <w:rsid w:val="00F8500C"/>
    <w:rsid w:val="00F85155"/>
    <w:rsid w:val="00F856C2"/>
    <w:rsid w:val="00F86E63"/>
    <w:rsid w:val="00F875E3"/>
    <w:rsid w:val="00F90561"/>
    <w:rsid w:val="00F90737"/>
    <w:rsid w:val="00F90811"/>
    <w:rsid w:val="00F90A9B"/>
    <w:rsid w:val="00F90B52"/>
    <w:rsid w:val="00F91181"/>
    <w:rsid w:val="00F91354"/>
    <w:rsid w:val="00F914A6"/>
    <w:rsid w:val="00F91560"/>
    <w:rsid w:val="00F92292"/>
    <w:rsid w:val="00F92774"/>
    <w:rsid w:val="00F92D19"/>
    <w:rsid w:val="00F9310B"/>
    <w:rsid w:val="00F93503"/>
    <w:rsid w:val="00F93C17"/>
    <w:rsid w:val="00F93DCC"/>
    <w:rsid w:val="00F93E52"/>
    <w:rsid w:val="00F94CBB"/>
    <w:rsid w:val="00F94FE7"/>
    <w:rsid w:val="00F9563B"/>
    <w:rsid w:val="00F958D8"/>
    <w:rsid w:val="00F962B9"/>
    <w:rsid w:val="00F96C70"/>
    <w:rsid w:val="00F971F5"/>
    <w:rsid w:val="00F973F4"/>
    <w:rsid w:val="00F9755F"/>
    <w:rsid w:val="00F97669"/>
    <w:rsid w:val="00F97B07"/>
    <w:rsid w:val="00F97B43"/>
    <w:rsid w:val="00F97CE1"/>
    <w:rsid w:val="00FA009D"/>
    <w:rsid w:val="00FA1266"/>
    <w:rsid w:val="00FA1367"/>
    <w:rsid w:val="00FA13C4"/>
    <w:rsid w:val="00FA1A6C"/>
    <w:rsid w:val="00FA1ADD"/>
    <w:rsid w:val="00FA2041"/>
    <w:rsid w:val="00FA285E"/>
    <w:rsid w:val="00FA2C9B"/>
    <w:rsid w:val="00FA2CDE"/>
    <w:rsid w:val="00FA2ED7"/>
    <w:rsid w:val="00FA2EEB"/>
    <w:rsid w:val="00FA3064"/>
    <w:rsid w:val="00FA3473"/>
    <w:rsid w:val="00FA3BFF"/>
    <w:rsid w:val="00FA4272"/>
    <w:rsid w:val="00FA4793"/>
    <w:rsid w:val="00FA4DE4"/>
    <w:rsid w:val="00FA4E0C"/>
    <w:rsid w:val="00FA5A70"/>
    <w:rsid w:val="00FA5F7D"/>
    <w:rsid w:val="00FA5FED"/>
    <w:rsid w:val="00FA61AC"/>
    <w:rsid w:val="00FA6654"/>
    <w:rsid w:val="00FA6DF9"/>
    <w:rsid w:val="00FA755A"/>
    <w:rsid w:val="00FB0838"/>
    <w:rsid w:val="00FB0BDB"/>
    <w:rsid w:val="00FB0BF5"/>
    <w:rsid w:val="00FB2BEE"/>
    <w:rsid w:val="00FB37B9"/>
    <w:rsid w:val="00FB38DD"/>
    <w:rsid w:val="00FB3C40"/>
    <w:rsid w:val="00FB4130"/>
    <w:rsid w:val="00FB452D"/>
    <w:rsid w:val="00FB4961"/>
    <w:rsid w:val="00FB4EED"/>
    <w:rsid w:val="00FB5598"/>
    <w:rsid w:val="00FB564F"/>
    <w:rsid w:val="00FB58BD"/>
    <w:rsid w:val="00FB5D82"/>
    <w:rsid w:val="00FB5F8F"/>
    <w:rsid w:val="00FB64F4"/>
    <w:rsid w:val="00FB65B3"/>
    <w:rsid w:val="00FB6CB5"/>
    <w:rsid w:val="00FB7178"/>
    <w:rsid w:val="00FB71F9"/>
    <w:rsid w:val="00FB73D2"/>
    <w:rsid w:val="00FB7580"/>
    <w:rsid w:val="00FB7FA1"/>
    <w:rsid w:val="00FC0097"/>
    <w:rsid w:val="00FC010E"/>
    <w:rsid w:val="00FC108E"/>
    <w:rsid w:val="00FC1192"/>
    <w:rsid w:val="00FC14F8"/>
    <w:rsid w:val="00FC1E0A"/>
    <w:rsid w:val="00FC2472"/>
    <w:rsid w:val="00FC24F2"/>
    <w:rsid w:val="00FC2AE0"/>
    <w:rsid w:val="00FC3170"/>
    <w:rsid w:val="00FC351D"/>
    <w:rsid w:val="00FC3D4C"/>
    <w:rsid w:val="00FC4221"/>
    <w:rsid w:val="00FC42FD"/>
    <w:rsid w:val="00FC46B9"/>
    <w:rsid w:val="00FC4B39"/>
    <w:rsid w:val="00FC53DD"/>
    <w:rsid w:val="00FC58E5"/>
    <w:rsid w:val="00FC629B"/>
    <w:rsid w:val="00FC6A07"/>
    <w:rsid w:val="00FC6C87"/>
    <w:rsid w:val="00FC6D6B"/>
    <w:rsid w:val="00FC7926"/>
    <w:rsid w:val="00FC7A23"/>
    <w:rsid w:val="00FD071C"/>
    <w:rsid w:val="00FD0FB0"/>
    <w:rsid w:val="00FD1024"/>
    <w:rsid w:val="00FD1F6E"/>
    <w:rsid w:val="00FD351C"/>
    <w:rsid w:val="00FD366B"/>
    <w:rsid w:val="00FD39FD"/>
    <w:rsid w:val="00FD3A41"/>
    <w:rsid w:val="00FD3D64"/>
    <w:rsid w:val="00FD43BE"/>
    <w:rsid w:val="00FD496A"/>
    <w:rsid w:val="00FD54BE"/>
    <w:rsid w:val="00FD5834"/>
    <w:rsid w:val="00FD63EF"/>
    <w:rsid w:val="00FD7419"/>
    <w:rsid w:val="00FD7426"/>
    <w:rsid w:val="00FE0C95"/>
    <w:rsid w:val="00FE0EFC"/>
    <w:rsid w:val="00FE124A"/>
    <w:rsid w:val="00FE14A5"/>
    <w:rsid w:val="00FE1A1A"/>
    <w:rsid w:val="00FE20F7"/>
    <w:rsid w:val="00FE22EC"/>
    <w:rsid w:val="00FE2642"/>
    <w:rsid w:val="00FE320A"/>
    <w:rsid w:val="00FE3285"/>
    <w:rsid w:val="00FE3456"/>
    <w:rsid w:val="00FE53B6"/>
    <w:rsid w:val="00FE5877"/>
    <w:rsid w:val="00FE5FE5"/>
    <w:rsid w:val="00FE6016"/>
    <w:rsid w:val="00FE607A"/>
    <w:rsid w:val="00FE6D87"/>
    <w:rsid w:val="00FE6FE9"/>
    <w:rsid w:val="00FE7172"/>
    <w:rsid w:val="00FF0225"/>
    <w:rsid w:val="00FF0737"/>
    <w:rsid w:val="00FF133A"/>
    <w:rsid w:val="00FF2B76"/>
    <w:rsid w:val="00FF32EC"/>
    <w:rsid w:val="00FF341A"/>
    <w:rsid w:val="00FF360F"/>
    <w:rsid w:val="00FF3771"/>
    <w:rsid w:val="00FF3A7F"/>
    <w:rsid w:val="00FF3BC0"/>
    <w:rsid w:val="00FF3EAF"/>
    <w:rsid w:val="00FF4D75"/>
    <w:rsid w:val="00FF5C1D"/>
    <w:rsid w:val="00FF5C81"/>
    <w:rsid w:val="00FF5FAE"/>
    <w:rsid w:val="00FF60C0"/>
    <w:rsid w:val="00FF640B"/>
    <w:rsid w:val="00FF6896"/>
    <w:rsid w:val="00FF6A62"/>
    <w:rsid w:val="00FF79C4"/>
    <w:rsid w:val="1CFF7395"/>
    <w:rsid w:val="2AFF510A"/>
    <w:rsid w:val="34FE7AE3"/>
    <w:rsid w:val="3EF5242A"/>
    <w:rsid w:val="3EFF73EC"/>
    <w:rsid w:val="47F9FCD8"/>
    <w:rsid w:val="53FB0FC5"/>
    <w:rsid w:val="57FF0CDB"/>
    <w:rsid w:val="5B1F7416"/>
    <w:rsid w:val="5BFDB23D"/>
    <w:rsid w:val="5DA71CF9"/>
    <w:rsid w:val="6BE40FC9"/>
    <w:rsid w:val="6FAA34E8"/>
    <w:rsid w:val="77958D7B"/>
    <w:rsid w:val="77EF1DD1"/>
    <w:rsid w:val="77FB7BA8"/>
    <w:rsid w:val="7B904795"/>
    <w:rsid w:val="7BF736CA"/>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6884F3"/>
  <w15:docId w15:val="{23FD2E02-2E42-4315-B73A-FC201FDA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qFormat="1"/>
    <w:lsdException w:name="footer" w:uiPriority="99"/>
    <w:lsdException w:name="caption" w:uiPriority="35" w:unhideWhenUsed="1"/>
    <w:lsdException w:name="annotation reference" w:qFormat="1"/>
    <w:lsdException w:name="List" w:qFormat="1"/>
    <w:lsdException w:name="List 3" w:qFormat="1"/>
    <w:lsdException w:name="List 5" w:qFormat="1"/>
    <w:lsdException w:name="Title" w:qFormat="1"/>
    <w:lsdException w:name="Default Paragraph Font" w:semiHidden="1" w:uiPriority="1" w:unhideWhenUsed="1" w:qFormat="1"/>
    <w:lsdException w:name="Hyperlink"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2465D"/>
    <w:pPr>
      <w:pBdr>
        <w:top w:val="none" w:sz="0" w:space="0" w:color="auto"/>
      </w:pBdr>
      <w:outlineLvl w:val="1"/>
    </w:pPr>
    <w:rPr>
      <w:sz w:val="32"/>
    </w:rPr>
  </w:style>
  <w:style w:type="paragraph" w:styleId="Heading3">
    <w:name w:val="heading 3"/>
    <w:basedOn w:val="Heading2"/>
    <w:next w:val="Normal"/>
    <w:link w:val="Heading3Char"/>
    <w:qFormat/>
    <w:rsid w:val="0062465D"/>
    <w:pPr>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qFormat/>
    <w:pPr>
      <w:textAlignment w:val="auto"/>
    </w:pPr>
    <w:rPr>
      <w:lang w:val="zh-CN" w:eastAsia="zh-CN"/>
    </w:rPr>
  </w:style>
  <w:style w:type="paragraph" w:styleId="BodyText">
    <w:name w:val="Body Text"/>
    <w:basedOn w:val="Normal"/>
    <w:link w:val="BodyTextChar"/>
    <w:pPr>
      <w:spacing w:after="120"/>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unhideWhenUsed/>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unhideWhenUsed/>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sid w:val="0062465D"/>
    <w:rPr>
      <w:rFonts w:ascii="Arial" w:eastAsia="Times New Roman" w:hAnsi="Arial"/>
      <w:sz w:val="28"/>
      <w:lang w:val="en-GB" w:eastAsia="ja-JP"/>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sid w:val="0062465D"/>
    <w:rPr>
      <w:rFonts w:ascii="Arial" w:eastAsia="Times New Roman" w:hAnsi="Arial"/>
      <w:sz w:val="32"/>
      <w:lang w:val="en-GB" w:eastAsia="ja-JP"/>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spacing w:before="80" w:after="100"/>
      <w:ind w:left="1552" w:hangingChars="776" w:hanging="1552"/>
    </w:pPr>
    <w:rPr>
      <w:rFonts w:eastAsia="DengXian"/>
      <w:b/>
      <w:lang w:eastAsia="en-GB"/>
    </w:rPr>
  </w:style>
  <w:style w:type="character" w:customStyle="1" w:styleId="Observation-HWChar">
    <w:name w:val="Observation-HW Char"/>
    <w:basedOn w:val="DefaultParagraphFont"/>
    <w:link w:val="Observation-HW"/>
    <w:rPr>
      <w:rFonts w:ascii="Times New Roman" w:eastAsia="DengXian" w:hAnsi="Times New Roman" w:cs="Times New Roman"/>
      <w:b/>
      <w:lang w:val="en-GB"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Observation-HW"/>
    <w:link w:val="Proposal-HWChar"/>
    <w:qFormat/>
    <w:rsid w:val="0050061B"/>
    <w:pPr>
      <w:ind w:left="1100" w:hangingChars="550" w:hanging="1100"/>
    </w:pPr>
    <w:rPr>
      <w:lang w:val="en-US" w:eastAsia="zh-CN"/>
    </w:rPr>
  </w:style>
  <w:style w:type="character" w:customStyle="1" w:styleId="Proposal-HWChar">
    <w:name w:val="Proposal-HW Char"/>
    <w:basedOn w:val="DefaultParagraphFont"/>
    <w:link w:val="Proposal-HW"/>
    <w:rsid w:val="0050061B"/>
    <w:rPr>
      <w:rFonts w:eastAsia="DengXian"/>
      <w:b/>
      <w:lang w:eastAsia="zh-CN"/>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spacing w:before="80" w:after="100"/>
      <w:ind w:leftChars="567" w:left="1416" w:hangingChars="141" w:hanging="282"/>
      <w:textAlignment w:val="auto"/>
    </w:pPr>
    <w:rPr>
      <w:rFonts w:eastAsia="DengXian" w:cs="Calibri"/>
      <w:b/>
      <w:lang w:eastAsia="en-GB"/>
    </w:rPr>
  </w:style>
  <w:style w:type="paragraph" w:styleId="ListParagraph">
    <w:name w:val="List Paragraph"/>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DengXi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uiPriority w:val="9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8"/>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8"/>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8"/>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8"/>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link w:val="ListParagraph"/>
    <w:uiPriority w:val="34"/>
    <w:qFormat/>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Revision2">
    <w:name w:val="Revision2"/>
    <w:hidden/>
    <w:uiPriority w:val="99"/>
    <w:semiHidden/>
    <w:rPr>
      <w:rFonts w:eastAsia="Times New Roman"/>
      <w:lang w:val="en-GB" w:eastAsia="ja-JP"/>
    </w:rPr>
  </w:style>
  <w:style w:type="table" w:customStyle="1" w:styleId="2">
    <w:name w:val="网格型2"/>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Pr>
      <w:rFonts w:ascii="Times New Roman" w:eastAsia="Times New Roman" w:hAnsi="Times New Roman" w:cs="Times New Roman"/>
      <w:lang w:val="en-GB" w:eastAsia="ja-JP"/>
    </w:rPr>
  </w:style>
  <w:style w:type="table" w:customStyle="1" w:styleId="3">
    <w:name w:val="网格型3"/>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character" w:customStyle="1" w:styleId="vkekvd">
    <w:name w:val="vkekvd"/>
    <w:basedOn w:val="DefaultParagraphFont"/>
  </w:style>
  <w:style w:type="character" w:customStyle="1" w:styleId="t286pc">
    <w:name w:val="t286p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EF05D5-A1CB-4C6A-9CD7-5076FE903A2A}">
  <ds:schemaRefs>
    <ds:schemaRef ds:uri="http://schemas.openxmlformats.org/officeDocument/2006/bibliography"/>
  </ds:schemaRefs>
</ds:datastoreItem>
</file>

<file path=customXml/itemProps2.xml><?xml version="1.0" encoding="utf-8"?>
<ds:datastoreItem xmlns:ds="http://schemas.openxmlformats.org/officeDocument/2006/customXml" ds:itemID="{0E454526-9571-4583-941C-8FB7C079B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5363</Words>
  <Characters>30570</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(David Lecompte)</cp:lastModifiedBy>
  <cp:revision>2</cp:revision>
  <dcterms:created xsi:type="dcterms:W3CDTF">2025-10-03T06:14:00Z</dcterms:created>
  <dcterms:modified xsi:type="dcterms:W3CDTF">2025-10-03T06:14:00Z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1758589061</vt:lpwstr>
  </property>
</Properties>
</file>